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5F3D" w14:textId="77777777" w:rsidR="001128FE" w:rsidRDefault="001128FE">
      <w:pPr>
        <w:pBdr>
          <w:top w:val="nil"/>
          <w:left w:val="nil"/>
          <w:bottom w:val="nil"/>
          <w:right w:val="nil"/>
          <w:between w:val="nil"/>
        </w:pBdr>
        <w:spacing w:line="276" w:lineRule="auto"/>
      </w:pPr>
    </w:p>
    <w:p w14:paraId="1C0893CF" w14:textId="77777777" w:rsidR="001128FE" w:rsidRDefault="001128FE">
      <w:pPr>
        <w:pBdr>
          <w:top w:val="nil"/>
          <w:left w:val="nil"/>
          <w:bottom w:val="nil"/>
          <w:right w:val="nil"/>
          <w:between w:val="nil"/>
        </w:pBdr>
        <w:spacing w:before="3"/>
        <w:rPr>
          <w:rFonts w:ascii="Times New Roman" w:eastAsia="Times New Roman" w:hAnsi="Times New Roman" w:cs="Times New Roman"/>
          <w:color w:val="000000"/>
          <w:sz w:val="28"/>
          <w:szCs w:val="28"/>
        </w:rPr>
      </w:pPr>
    </w:p>
    <w:p w14:paraId="101B2E37" w14:textId="77777777" w:rsidR="001128FE" w:rsidRDefault="00000000">
      <w:pPr>
        <w:pStyle w:val="Heading1"/>
        <w:spacing w:before="104"/>
        <w:ind w:firstLine="117"/>
        <w:rPr>
          <w:u w:val="none"/>
        </w:rPr>
      </w:pPr>
      <w:r>
        <w:t>Abstract Presentation Categories</w:t>
      </w:r>
    </w:p>
    <w:p w14:paraId="7DC8A86D" w14:textId="77777777" w:rsidR="001128FE" w:rsidRDefault="00000000">
      <w:pPr>
        <w:numPr>
          <w:ilvl w:val="0"/>
          <w:numId w:val="2"/>
        </w:numPr>
        <w:pBdr>
          <w:top w:val="nil"/>
          <w:left w:val="nil"/>
          <w:bottom w:val="nil"/>
          <w:right w:val="nil"/>
          <w:between w:val="nil"/>
        </w:pBdr>
        <w:tabs>
          <w:tab w:val="left" w:pos="388"/>
        </w:tabs>
        <w:spacing w:before="8"/>
        <w:ind w:hanging="271"/>
      </w:pPr>
      <w:r>
        <w:rPr>
          <w:color w:val="000000"/>
        </w:rPr>
        <w:t>Review Article (provide analysis of existing published literature within a specific field)</w:t>
      </w:r>
    </w:p>
    <w:p w14:paraId="15F2637F" w14:textId="77777777" w:rsidR="001128FE" w:rsidRDefault="00000000">
      <w:pPr>
        <w:numPr>
          <w:ilvl w:val="0"/>
          <w:numId w:val="2"/>
        </w:numPr>
        <w:pBdr>
          <w:top w:val="nil"/>
          <w:left w:val="nil"/>
          <w:bottom w:val="nil"/>
          <w:right w:val="nil"/>
          <w:between w:val="nil"/>
        </w:pBdr>
        <w:tabs>
          <w:tab w:val="left" w:pos="388"/>
        </w:tabs>
        <w:spacing w:before="9"/>
        <w:ind w:hanging="271"/>
      </w:pPr>
      <w:r>
        <w:rPr>
          <w:color w:val="000000"/>
        </w:rPr>
        <w:t>Case Report (presents the details of uncommon/unusual patient cases)</w:t>
      </w:r>
    </w:p>
    <w:p w14:paraId="0EDFC965" w14:textId="77777777" w:rsidR="001128FE" w:rsidRDefault="00000000">
      <w:pPr>
        <w:numPr>
          <w:ilvl w:val="0"/>
          <w:numId w:val="2"/>
        </w:numPr>
        <w:pBdr>
          <w:top w:val="nil"/>
          <w:left w:val="nil"/>
          <w:bottom w:val="nil"/>
          <w:right w:val="nil"/>
          <w:between w:val="nil"/>
        </w:pBdr>
        <w:tabs>
          <w:tab w:val="left" w:pos="388"/>
        </w:tabs>
        <w:spacing w:before="13" w:line="252" w:lineRule="auto"/>
        <w:ind w:right="1005"/>
      </w:pPr>
      <w:r>
        <w:rPr>
          <w:color w:val="000000"/>
        </w:rPr>
        <w:t>Original Research (presents results obtained by researchers after their creation, design, and implementation of a novel hypothesis)</w:t>
      </w:r>
    </w:p>
    <w:p w14:paraId="3A3DDB65" w14:textId="77777777" w:rsidR="001128FE" w:rsidRDefault="001128FE">
      <w:pPr>
        <w:pBdr>
          <w:top w:val="nil"/>
          <w:left w:val="nil"/>
          <w:bottom w:val="nil"/>
          <w:right w:val="nil"/>
          <w:between w:val="nil"/>
        </w:pBdr>
        <w:spacing w:before="3"/>
        <w:rPr>
          <w:color w:val="000000"/>
          <w:sz w:val="25"/>
          <w:szCs w:val="25"/>
        </w:rPr>
      </w:pPr>
    </w:p>
    <w:p w14:paraId="721671E7" w14:textId="77777777" w:rsidR="001128FE" w:rsidRDefault="00000000">
      <w:pPr>
        <w:pStyle w:val="Heading1"/>
        <w:spacing w:before="0"/>
        <w:ind w:firstLine="117"/>
        <w:rPr>
          <w:u w:val="none"/>
        </w:rPr>
      </w:pPr>
      <w:r>
        <w:t>Abstract Presentation Submission Criteria</w:t>
      </w:r>
    </w:p>
    <w:p w14:paraId="621C9E4E" w14:textId="77777777" w:rsidR="001128FE" w:rsidRDefault="00000000">
      <w:pPr>
        <w:numPr>
          <w:ilvl w:val="0"/>
          <w:numId w:val="2"/>
        </w:numPr>
        <w:pBdr>
          <w:top w:val="nil"/>
          <w:left w:val="nil"/>
          <w:bottom w:val="nil"/>
          <w:right w:val="nil"/>
          <w:between w:val="nil"/>
        </w:pBdr>
        <w:tabs>
          <w:tab w:val="left" w:pos="388"/>
        </w:tabs>
        <w:spacing w:before="9" w:line="252" w:lineRule="auto"/>
        <w:ind w:right="311"/>
      </w:pPr>
      <w:r>
        <w:rPr>
          <w:color w:val="000000"/>
        </w:rPr>
        <w:t>Be sure to select the proper abstract category before submission of your abstract. Selection of an incorrect category will result in the judges receiving the incorrect score sheet causing an inability to accurately score your abstract.</w:t>
      </w:r>
    </w:p>
    <w:p w14:paraId="7EF20C0B" w14:textId="77777777" w:rsidR="001128FE" w:rsidRDefault="00000000">
      <w:pPr>
        <w:numPr>
          <w:ilvl w:val="0"/>
          <w:numId w:val="2"/>
        </w:numPr>
        <w:pBdr>
          <w:top w:val="nil"/>
          <w:left w:val="nil"/>
          <w:bottom w:val="nil"/>
          <w:right w:val="nil"/>
          <w:between w:val="nil"/>
        </w:pBdr>
        <w:tabs>
          <w:tab w:val="left" w:pos="388"/>
        </w:tabs>
        <w:spacing w:line="256" w:lineRule="auto"/>
        <w:ind w:right="269"/>
      </w:pPr>
      <w:r>
        <w:rPr>
          <w:color w:val="000000"/>
        </w:rPr>
        <w:t>Information and data submitted in the abstract must be original and all rights owned by the authors at time of submission.</w:t>
      </w:r>
    </w:p>
    <w:p w14:paraId="26C50FEA" w14:textId="77777777" w:rsidR="001128FE" w:rsidRDefault="00000000">
      <w:pPr>
        <w:numPr>
          <w:ilvl w:val="0"/>
          <w:numId w:val="2"/>
        </w:numPr>
        <w:pBdr>
          <w:top w:val="nil"/>
          <w:left w:val="nil"/>
          <w:bottom w:val="nil"/>
          <w:right w:val="nil"/>
          <w:between w:val="nil"/>
        </w:pBdr>
        <w:tabs>
          <w:tab w:val="left" w:pos="388"/>
        </w:tabs>
        <w:spacing w:line="256" w:lineRule="auto"/>
        <w:ind w:right="269"/>
        <w:rPr>
          <w:b/>
        </w:rPr>
      </w:pPr>
      <w:r>
        <w:rPr>
          <w:b/>
          <w:color w:val="CC0000"/>
        </w:rPr>
        <w:t>Only 1 abstract submission is allowed per SAOAO national member.</w:t>
      </w:r>
    </w:p>
    <w:p w14:paraId="710038AE" w14:textId="77777777" w:rsidR="001128FE" w:rsidRDefault="00000000">
      <w:pPr>
        <w:numPr>
          <w:ilvl w:val="0"/>
          <w:numId w:val="2"/>
        </w:numPr>
        <w:pBdr>
          <w:top w:val="nil"/>
          <w:left w:val="nil"/>
          <w:bottom w:val="nil"/>
          <w:right w:val="nil"/>
          <w:between w:val="nil"/>
        </w:pBdr>
        <w:tabs>
          <w:tab w:val="left" w:pos="388"/>
        </w:tabs>
        <w:spacing w:line="252" w:lineRule="auto"/>
        <w:ind w:right="545"/>
      </w:pPr>
      <w:r>
        <w:rPr>
          <w:color w:val="000000"/>
        </w:rPr>
        <w:t>Abstracts are not eligible for consideration if the content has been accepted and/or presented at another meeting held in North America prior to the SAOAO conference or a previous SAOAO conference.</w:t>
      </w:r>
    </w:p>
    <w:p w14:paraId="308B5FA7" w14:textId="77777777" w:rsidR="001128FE" w:rsidRDefault="00000000">
      <w:pPr>
        <w:numPr>
          <w:ilvl w:val="0"/>
          <w:numId w:val="2"/>
        </w:numPr>
        <w:pBdr>
          <w:top w:val="nil"/>
          <w:left w:val="nil"/>
          <w:bottom w:val="nil"/>
          <w:right w:val="nil"/>
          <w:between w:val="nil"/>
        </w:pBdr>
        <w:tabs>
          <w:tab w:val="left" w:pos="388"/>
        </w:tabs>
        <w:spacing w:line="252" w:lineRule="auto"/>
        <w:ind w:right="513"/>
      </w:pPr>
      <w:r>
        <w:rPr>
          <w:color w:val="000000"/>
        </w:rPr>
        <w:t>Abstracts are not eligible for consideration if the content has been published as a manuscript in a peer-reviewed journal prior to the SAOAO conference.</w:t>
      </w:r>
    </w:p>
    <w:p w14:paraId="6DE147A2" w14:textId="77777777" w:rsidR="001128FE" w:rsidRDefault="00000000">
      <w:pPr>
        <w:numPr>
          <w:ilvl w:val="0"/>
          <w:numId w:val="2"/>
        </w:numPr>
        <w:pBdr>
          <w:top w:val="nil"/>
          <w:left w:val="nil"/>
          <w:bottom w:val="nil"/>
          <w:right w:val="nil"/>
          <w:between w:val="nil"/>
        </w:pBdr>
        <w:tabs>
          <w:tab w:val="left" w:pos="388"/>
        </w:tabs>
        <w:spacing w:line="256" w:lineRule="auto"/>
        <w:ind w:right="1190"/>
      </w:pPr>
      <w:r>
        <w:rPr>
          <w:color w:val="000000"/>
        </w:rPr>
        <w:t>Any abstracts consisting of research carried out on human or animal subjects must obtain Institutional Review Board (IRB) or Animal Care and Use Committee (ACAUC) approval.</w:t>
      </w:r>
    </w:p>
    <w:p w14:paraId="7685F401" w14:textId="77777777" w:rsidR="001128FE" w:rsidRDefault="00000000">
      <w:pPr>
        <w:numPr>
          <w:ilvl w:val="0"/>
          <w:numId w:val="2"/>
        </w:numPr>
        <w:pBdr>
          <w:top w:val="nil"/>
          <w:left w:val="nil"/>
          <w:bottom w:val="nil"/>
          <w:right w:val="nil"/>
          <w:between w:val="nil"/>
        </w:pBdr>
        <w:tabs>
          <w:tab w:val="left" w:pos="388"/>
        </w:tabs>
        <w:spacing w:line="252" w:lineRule="auto"/>
        <w:ind w:right="825"/>
      </w:pPr>
      <w:r>
        <w:rPr>
          <w:color w:val="000000"/>
        </w:rPr>
        <w:t xml:space="preserve">Abstract text is </w:t>
      </w:r>
      <w:r>
        <w:rPr>
          <w:b/>
          <w:color w:val="CC0000"/>
        </w:rPr>
        <w:t>limited to 300 words</w:t>
      </w:r>
      <w:r>
        <w:rPr>
          <w:color w:val="000000"/>
        </w:rPr>
        <w:t xml:space="preserve"> (this does not include title, subtitles, authors, conflicts of interest declarations, or captions).</w:t>
      </w:r>
    </w:p>
    <w:p w14:paraId="0BEEC8C5" w14:textId="77777777" w:rsidR="001128FE" w:rsidRDefault="00000000">
      <w:pPr>
        <w:numPr>
          <w:ilvl w:val="0"/>
          <w:numId w:val="2"/>
        </w:numPr>
        <w:pBdr>
          <w:top w:val="nil"/>
          <w:left w:val="nil"/>
          <w:bottom w:val="nil"/>
          <w:right w:val="nil"/>
          <w:between w:val="nil"/>
        </w:pBdr>
        <w:tabs>
          <w:tab w:val="left" w:pos="388"/>
        </w:tabs>
        <w:spacing w:line="252" w:lineRule="auto"/>
        <w:ind w:right="953"/>
      </w:pPr>
      <w:r>
        <w:rPr>
          <w:color w:val="000000"/>
        </w:rPr>
        <w:t xml:space="preserve">Abstracts must be submitted as a </w:t>
      </w:r>
      <w:r>
        <w:rPr>
          <w:b/>
          <w:color w:val="CC0000"/>
        </w:rPr>
        <w:t>Word</w:t>
      </w:r>
      <w:r>
        <w:rPr>
          <w:color w:val="000000"/>
        </w:rPr>
        <w:t xml:space="preserve"> document following one of the formats shown below. Submissions not following the format below will not be considered for acceptance.</w:t>
      </w:r>
    </w:p>
    <w:p w14:paraId="6298F186" w14:textId="77777777" w:rsidR="001128FE" w:rsidRDefault="00000000">
      <w:pPr>
        <w:numPr>
          <w:ilvl w:val="0"/>
          <w:numId w:val="2"/>
        </w:numPr>
        <w:pBdr>
          <w:top w:val="nil"/>
          <w:left w:val="nil"/>
          <w:bottom w:val="nil"/>
          <w:right w:val="nil"/>
          <w:between w:val="nil"/>
        </w:pBdr>
        <w:tabs>
          <w:tab w:val="left" w:pos="388"/>
        </w:tabs>
        <w:spacing w:line="256" w:lineRule="auto"/>
        <w:ind w:right="171"/>
      </w:pPr>
      <w:r>
        <w:rPr>
          <w:color w:val="000000"/>
        </w:rPr>
        <w:t>Abbreviations and acronyms should only be used after they have been spelled out with their first use in the abstract.</w:t>
      </w:r>
    </w:p>
    <w:p w14:paraId="20769838" w14:textId="77777777" w:rsidR="001128FE" w:rsidRDefault="00000000">
      <w:pPr>
        <w:numPr>
          <w:ilvl w:val="0"/>
          <w:numId w:val="2"/>
        </w:numPr>
        <w:pBdr>
          <w:top w:val="nil"/>
          <w:left w:val="nil"/>
          <w:bottom w:val="nil"/>
          <w:right w:val="nil"/>
          <w:between w:val="nil"/>
        </w:pBdr>
        <w:tabs>
          <w:tab w:val="left" w:pos="388"/>
        </w:tabs>
        <w:spacing w:line="252" w:lineRule="auto"/>
        <w:ind w:right="294"/>
      </w:pPr>
      <w:r>
        <w:rPr>
          <w:color w:val="000000"/>
        </w:rPr>
        <w:t xml:space="preserve">The </w:t>
      </w:r>
      <w:r>
        <w:rPr>
          <w:b/>
          <w:color w:val="000000"/>
        </w:rPr>
        <w:t xml:space="preserve">primary author of the abstract must be a registered SAOAO national member </w:t>
      </w:r>
      <w:r>
        <w:rPr>
          <w:color w:val="000000"/>
        </w:rPr>
        <w:t>and currently in good standing at an accredited Osteopathic Medical School.</w:t>
      </w:r>
    </w:p>
    <w:p w14:paraId="00BA5D76" w14:textId="77777777" w:rsidR="001128FE" w:rsidRDefault="00000000">
      <w:pPr>
        <w:numPr>
          <w:ilvl w:val="0"/>
          <w:numId w:val="2"/>
        </w:numPr>
        <w:pBdr>
          <w:top w:val="nil"/>
          <w:left w:val="nil"/>
          <w:bottom w:val="nil"/>
          <w:right w:val="nil"/>
          <w:between w:val="nil"/>
        </w:pBdr>
        <w:tabs>
          <w:tab w:val="left" w:pos="388"/>
        </w:tabs>
        <w:spacing w:line="266" w:lineRule="auto"/>
        <w:ind w:hanging="271"/>
      </w:pPr>
      <w:r>
        <w:rPr>
          <w:color w:val="000000"/>
        </w:rPr>
        <w:t>Each abstract must include a physician, Ph.D., or research mentor as an author.</w:t>
      </w:r>
    </w:p>
    <w:p w14:paraId="388897A2" w14:textId="77777777" w:rsidR="00EC27F1" w:rsidRPr="00323029" w:rsidRDefault="00EC27F1" w:rsidP="00EC27F1">
      <w:pPr>
        <w:numPr>
          <w:ilvl w:val="0"/>
          <w:numId w:val="2"/>
        </w:numPr>
        <w:pBdr>
          <w:top w:val="nil"/>
          <w:left w:val="nil"/>
          <w:bottom w:val="nil"/>
          <w:right w:val="nil"/>
          <w:between w:val="nil"/>
        </w:pBdr>
        <w:tabs>
          <w:tab w:val="left" w:pos="388"/>
        </w:tabs>
        <w:spacing w:line="256" w:lineRule="auto"/>
        <w:ind w:right="123"/>
      </w:pPr>
      <w:r>
        <w:rPr>
          <w:color w:val="000000"/>
        </w:rPr>
        <w:t>The SAOAO National Executive Board will review all abstract submissions and select a maximum of 10 to be accepted for podium presentation at the conference.</w:t>
      </w:r>
    </w:p>
    <w:p w14:paraId="6B2DE2D0" w14:textId="77777777" w:rsidR="00EC27F1" w:rsidRDefault="00EC27F1" w:rsidP="00EC27F1">
      <w:pPr>
        <w:numPr>
          <w:ilvl w:val="0"/>
          <w:numId w:val="2"/>
        </w:numPr>
        <w:pBdr>
          <w:top w:val="nil"/>
          <w:left w:val="nil"/>
          <w:bottom w:val="nil"/>
          <w:right w:val="nil"/>
          <w:between w:val="nil"/>
        </w:pBdr>
        <w:tabs>
          <w:tab w:val="left" w:pos="388"/>
        </w:tabs>
        <w:spacing w:line="256" w:lineRule="auto"/>
        <w:ind w:right="123"/>
      </w:pPr>
      <w:r>
        <w:rPr>
          <w:color w:val="000000"/>
        </w:rPr>
        <w:t>The SAOAO National Executive Board will review all abstract submissions and select a maximum of 10 to be accepted for poster presentation at the conference.</w:t>
      </w:r>
    </w:p>
    <w:p w14:paraId="5A6331E8" w14:textId="62B728EE" w:rsidR="00EC27F1" w:rsidRDefault="00EC27F1" w:rsidP="00EC27F1">
      <w:pPr>
        <w:numPr>
          <w:ilvl w:val="0"/>
          <w:numId w:val="2"/>
        </w:numPr>
        <w:pBdr>
          <w:top w:val="nil"/>
          <w:left w:val="nil"/>
          <w:bottom w:val="nil"/>
          <w:right w:val="nil"/>
          <w:between w:val="nil"/>
        </w:pBdr>
        <w:tabs>
          <w:tab w:val="left" w:pos="388"/>
        </w:tabs>
        <w:spacing w:line="256" w:lineRule="auto"/>
        <w:ind w:right="123"/>
      </w:pPr>
      <w:r>
        <w:t xml:space="preserve">The SAOAO National Executive Board will also select a maximum of </w:t>
      </w:r>
      <w:r w:rsidR="0006509B">
        <w:t>10</w:t>
      </w:r>
      <w:r>
        <w:t xml:space="preserve"> students who are not able to physically attend the conference as part of an online presentation section to be displayed at the conference.</w:t>
      </w:r>
    </w:p>
    <w:p w14:paraId="1D056389" w14:textId="2A4F6E82" w:rsidR="00EC27F1" w:rsidRPr="00323029" w:rsidRDefault="00EC27F1" w:rsidP="00EC27F1">
      <w:pPr>
        <w:numPr>
          <w:ilvl w:val="0"/>
          <w:numId w:val="2"/>
        </w:numPr>
        <w:pBdr>
          <w:top w:val="nil"/>
          <w:left w:val="nil"/>
          <w:bottom w:val="nil"/>
          <w:right w:val="nil"/>
          <w:between w:val="nil"/>
        </w:pBdr>
        <w:tabs>
          <w:tab w:val="left" w:pos="388"/>
        </w:tabs>
        <w:spacing w:line="252" w:lineRule="auto"/>
        <w:ind w:right="541"/>
      </w:pPr>
      <w:r>
        <w:rPr>
          <w:color w:val="000000"/>
        </w:rPr>
        <w:t xml:space="preserve">Abstracts chosen for podium presentation will be graded following the “SAOAO Abstract Presentation Grading Rubric” and the top three scoring presentations will be published on the SAOAO website after the conference. Acceptance of this publication opportunity will require completion of an assignment of copyright including signature of all authors. </w:t>
      </w:r>
    </w:p>
    <w:p w14:paraId="72C85070" w14:textId="03AF5232" w:rsidR="00EC27F1" w:rsidRDefault="00EC27F1" w:rsidP="00EC27F1">
      <w:pPr>
        <w:numPr>
          <w:ilvl w:val="0"/>
          <w:numId w:val="2"/>
        </w:numPr>
        <w:pBdr>
          <w:top w:val="nil"/>
          <w:left w:val="nil"/>
          <w:bottom w:val="nil"/>
          <w:right w:val="nil"/>
          <w:between w:val="nil"/>
        </w:pBdr>
        <w:tabs>
          <w:tab w:val="left" w:pos="388"/>
        </w:tabs>
        <w:spacing w:line="252" w:lineRule="auto"/>
        <w:ind w:right="541"/>
      </w:pPr>
      <w:r>
        <w:rPr>
          <w:color w:val="000000"/>
        </w:rPr>
        <w:t xml:space="preserve">Abstracts chosen for poster presentation will be graded following the “SAOAO Abstract Presentation Grading Rubric” and the top scoring presentation will be published on the SAOAO website after the conference. Acceptance of this publication opportunity will </w:t>
      </w:r>
      <w:r>
        <w:rPr>
          <w:color w:val="000000"/>
        </w:rPr>
        <w:lastRenderedPageBreak/>
        <w:t>require completion of an assignment of copyright including signature of all authors.</w:t>
      </w:r>
    </w:p>
    <w:p w14:paraId="79DF5073" w14:textId="77777777" w:rsidR="001128FE" w:rsidRDefault="00000000">
      <w:pPr>
        <w:numPr>
          <w:ilvl w:val="0"/>
          <w:numId w:val="2"/>
        </w:numPr>
        <w:pBdr>
          <w:top w:val="nil"/>
          <w:left w:val="nil"/>
          <w:bottom w:val="nil"/>
          <w:right w:val="nil"/>
          <w:between w:val="nil"/>
        </w:pBdr>
        <w:tabs>
          <w:tab w:val="left" w:pos="388"/>
        </w:tabs>
        <w:spacing w:line="266" w:lineRule="auto"/>
        <w:ind w:hanging="271"/>
      </w:pPr>
      <w:r>
        <w:rPr>
          <w:color w:val="000000"/>
        </w:rPr>
        <w:t xml:space="preserve">Abstracts chosen for presentation must be </w:t>
      </w:r>
      <w:r>
        <w:rPr>
          <w:b/>
          <w:color w:val="000000"/>
        </w:rPr>
        <w:t>presented by a registered SAOAO national member</w:t>
      </w:r>
      <w:r>
        <w:rPr>
          <w:color w:val="000000"/>
        </w:rPr>
        <w:t>.</w:t>
      </w:r>
    </w:p>
    <w:p w14:paraId="071E3894" w14:textId="77777777" w:rsidR="001128FE" w:rsidRDefault="00000000">
      <w:pPr>
        <w:numPr>
          <w:ilvl w:val="0"/>
          <w:numId w:val="2"/>
        </w:numPr>
        <w:pBdr>
          <w:top w:val="nil"/>
          <w:left w:val="nil"/>
          <w:bottom w:val="nil"/>
          <w:right w:val="nil"/>
          <w:between w:val="nil"/>
        </w:pBdr>
        <w:tabs>
          <w:tab w:val="left" w:pos="388"/>
        </w:tabs>
        <w:spacing w:line="256" w:lineRule="auto"/>
        <w:ind w:right="1093"/>
      </w:pPr>
      <w:r>
        <w:rPr>
          <w:color w:val="000000"/>
        </w:rPr>
        <w:t>Abstracts not chosen for presentation may be submitted for presentation at future SAOAO conferences.</w:t>
      </w:r>
    </w:p>
    <w:p w14:paraId="70C86F0B" w14:textId="58FA1099" w:rsidR="001128FE" w:rsidRDefault="00000000" w:rsidP="00EC27F1">
      <w:pPr>
        <w:numPr>
          <w:ilvl w:val="0"/>
          <w:numId w:val="2"/>
        </w:numPr>
        <w:pBdr>
          <w:top w:val="nil"/>
          <w:left w:val="nil"/>
          <w:bottom w:val="nil"/>
          <w:right w:val="nil"/>
          <w:between w:val="nil"/>
        </w:pBdr>
        <w:tabs>
          <w:tab w:val="left" w:pos="388"/>
        </w:tabs>
        <w:spacing w:line="252" w:lineRule="auto"/>
        <w:ind w:right="185"/>
      </w:pPr>
      <w:r>
        <w:rPr>
          <w:color w:val="000000"/>
        </w:rPr>
        <w:t>Abstracts not published on the SAOAO website will not be disclosed outside of the SAOAO conference and persons associated with the selection process (e.g., SAOAO National Executive Board members).</w:t>
      </w:r>
    </w:p>
    <w:p w14:paraId="5458EF9B" w14:textId="77777777" w:rsidR="001128FE" w:rsidRDefault="00000000">
      <w:pPr>
        <w:numPr>
          <w:ilvl w:val="0"/>
          <w:numId w:val="2"/>
        </w:numPr>
        <w:pBdr>
          <w:top w:val="nil"/>
          <w:left w:val="nil"/>
          <w:bottom w:val="nil"/>
          <w:right w:val="nil"/>
          <w:between w:val="nil"/>
        </w:pBdr>
        <w:tabs>
          <w:tab w:val="left" w:pos="388"/>
        </w:tabs>
        <w:spacing w:line="252" w:lineRule="auto"/>
        <w:ind w:right="1019"/>
      </w:pPr>
      <w:r>
        <w:rPr>
          <w:color w:val="000000"/>
        </w:rPr>
        <w:t>If an emergency arises and the presenter is unable to attend, you must notify the SAOAO at</w:t>
      </w:r>
      <w:r>
        <w:rPr>
          <w:color w:val="0563C1"/>
          <w:u w:val="single"/>
        </w:rPr>
        <w:t xml:space="preserve"> </w:t>
      </w:r>
      <w:hyperlink r:id="rId8">
        <w:r>
          <w:rPr>
            <w:color w:val="0563C1"/>
            <w:u w:val="single"/>
          </w:rPr>
          <w:t>studentaoao@gmail.com</w:t>
        </w:r>
      </w:hyperlink>
      <w:hyperlink r:id="rId9">
        <w:r>
          <w:rPr>
            <w:color w:val="0563C1"/>
          </w:rPr>
          <w:t xml:space="preserve"> </w:t>
        </w:r>
      </w:hyperlink>
      <w:r>
        <w:rPr>
          <w:color w:val="000000"/>
        </w:rPr>
        <w:t>immediately so a substitute abstract may be presented.</w:t>
      </w:r>
    </w:p>
    <w:p w14:paraId="72ECFBD3" w14:textId="77777777" w:rsidR="001128FE" w:rsidRDefault="00000000">
      <w:pPr>
        <w:numPr>
          <w:ilvl w:val="0"/>
          <w:numId w:val="2"/>
        </w:numPr>
        <w:pBdr>
          <w:top w:val="nil"/>
          <w:left w:val="nil"/>
          <w:bottom w:val="nil"/>
          <w:right w:val="nil"/>
          <w:between w:val="nil"/>
        </w:pBdr>
        <w:tabs>
          <w:tab w:val="left" w:pos="388"/>
        </w:tabs>
        <w:spacing w:line="256" w:lineRule="auto"/>
        <w:ind w:right="147"/>
      </w:pPr>
      <w:r>
        <w:rPr>
          <w:color w:val="000000"/>
        </w:rPr>
        <w:t>Failure to abide by any of the above criteria may result in the abstract not being reviewed or selected by the SAOAO National Executive Board.</w:t>
      </w:r>
    </w:p>
    <w:p w14:paraId="0885CAC9" w14:textId="77777777" w:rsidR="001128FE" w:rsidRDefault="001128FE">
      <w:pPr>
        <w:pBdr>
          <w:top w:val="nil"/>
          <w:left w:val="nil"/>
          <w:bottom w:val="nil"/>
          <w:right w:val="nil"/>
          <w:between w:val="nil"/>
        </w:pBdr>
        <w:tabs>
          <w:tab w:val="left" w:pos="388"/>
        </w:tabs>
        <w:spacing w:line="256" w:lineRule="auto"/>
        <w:ind w:right="147"/>
      </w:pPr>
    </w:p>
    <w:p w14:paraId="0FC141B0" w14:textId="57445763" w:rsidR="001128FE" w:rsidRDefault="00000000">
      <w:pPr>
        <w:pBdr>
          <w:top w:val="nil"/>
          <w:left w:val="nil"/>
          <w:bottom w:val="nil"/>
          <w:right w:val="nil"/>
          <w:between w:val="nil"/>
        </w:pBdr>
        <w:tabs>
          <w:tab w:val="left" w:pos="388"/>
        </w:tabs>
        <w:spacing w:line="256" w:lineRule="auto"/>
        <w:ind w:right="147"/>
        <w:rPr>
          <w:i/>
        </w:rPr>
        <w:sectPr w:rsidR="001128FE" w:rsidSect="007A544F">
          <w:headerReference w:type="default" r:id="rId10"/>
          <w:footerReference w:type="default" r:id="rId11"/>
          <w:pgSz w:w="12240" w:h="15840"/>
          <w:pgMar w:top="1660" w:right="1340" w:bottom="900" w:left="1320" w:header="402" w:footer="702" w:gutter="0"/>
          <w:pgNumType w:start="1"/>
          <w:cols w:space="720"/>
        </w:sectPr>
      </w:pPr>
      <w:r>
        <w:rPr>
          <w:i/>
        </w:rPr>
        <w:t xml:space="preserve">Submission guidelines reviewed and updated </w:t>
      </w:r>
      <w:r w:rsidR="00EC27F1">
        <w:rPr>
          <w:i/>
        </w:rPr>
        <w:t>3</w:t>
      </w:r>
      <w:r>
        <w:rPr>
          <w:i/>
        </w:rPr>
        <w:t>/</w:t>
      </w:r>
      <w:r w:rsidR="00EC27F1">
        <w:rPr>
          <w:i/>
        </w:rPr>
        <w:t>3</w:t>
      </w:r>
      <w:r>
        <w:rPr>
          <w:i/>
        </w:rPr>
        <w:t>/</w:t>
      </w:r>
      <w:r w:rsidR="00EC27F1">
        <w:rPr>
          <w:i/>
        </w:rPr>
        <w:t>24</w:t>
      </w:r>
      <w:r>
        <w:rPr>
          <w:i/>
        </w:rPr>
        <w:t>.</w:t>
      </w:r>
    </w:p>
    <w:p w14:paraId="0401A70D" w14:textId="77777777" w:rsidR="001128FE" w:rsidRDefault="001128FE">
      <w:pPr>
        <w:pBdr>
          <w:top w:val="nil"/>
          <w:left w:val="nil"/>
          <w:bottom w:val="nil"/>
          <w:right w:val="nil"/>
          <w:between w:val="nil"/>
        </w:pBdr>
        <w:rPr>
          <w:color w:val="000000"/>
          <w:sz w:val="28"/>
          <w:szCs w:val="28"/>
        </w:rPr>
      </w:pPr>
    </w:p>
    <w:p w14:paraId="4E725458" w14:textId="77777777" w:rsidR="001128FE" w:rsidRDefault="00000000">
      <w:pPr>
        <w:pStyle w:val="Heading1"/>
        <w:ind w:firstLine="117"/>
        <w:rPr>
          <w:u w:val="none"/>
        </w:rPr>
      </w:pPr>
      <w:r>
        <w:t>Abstract Presentation Submission Format – Review Article or Original Research</w:t>
      </w:r>
    </w:p>
    <w:p w14:paraId="131A9DC5" w14:textId="77777777" w:rsidR="001128FE" w:rsidRDefault="00000000">
      <w:pPr>
        <w:pBdr>
          <w:top w:val="nil"/>
          <w:left w:val="nil"/>
          <w:bottom w:val="nil"/>
          <w:right w:val="nil"/>
          <w:between w:val="nil"/>
        </w:pBdr>
        <w:spacing w:before="14"/>
        <w:ind w:left="117"/>
        <w:rPr>
          <w:color w:val="000000"/>
        </w:rPr>
      </w:pPr>
      <w:r>
        <w:rPr>
          <w:color w:val="000000"/>
        </w:rPr>
        <w:t>Please submit your abstract following the format presented below.</w:t>
      </w:r>
    </w:p>
    <w:p w14:paraId="7F235452" w14:textId="77777777" w:rsidR="001128FE" w:rsidRDefault="001128FE">
      <w:pPr>
        <w:pBdr>
          <w:top w:val="nil"/>
          <w:left w:val="nil"/>
          <w:bottom w:val="nil"/>
          <w:right w:val="nil"/>
          <w:between w:val="nil"/>
        </w:pBdr>
        <w:spacing w:before="3"/>
        <w:rPr>
          <w:color w:val="000000"/>
          <w:sz w:val="24"/>
          <w:szCs w:val="24"/>
        </w:rPr>
      </w:pPr>
    </w:p>
    <w:p w14:paraId="0966D21E" w14:textId="77777777" w:rsidR="001128FE" w:rsidRDefault="00000000">
      <w:pPr>
        <w:pBdr>
          <w:top w:val="nil"/>
          <w:left w:val="nil"/>
          <w:bottom w:val="nil"/>
          <w:right w:val="nil"/>
          <w:between w:val="nil"/>
        </w:pBdr>
        <w:spacing w:before="1" w:line="252" w:lineRule="auto"/>
        <w:ind w:left="117"/>
        <w:rPr>
          <w:color w:val="000000"/>
        </w:rPr>
      </w:pPr>
      <w:r>
        <w:rPr>
          <w:b/>
          <w:color w:val="000000"/>
        </w:rPr>
        <w:t xml:space="preserve">Title: </w:t>
      </w:r>
      <w:proofErr w:type="gramStart"/>
      <w:r>
        <w:rPr>
          <w:color w:val="000000"/>
        </w:rPr>
        <w:t>Brief summary</w:t>
      </w:r>
      <w:proofErr w:type="gramEnd"/>
      <w:r>
        <w:rPr>
          <w:color w:val="000000"/>
        </w:rPr>
        <w:t xml:space="preserve"> of the abstract convincing the reader the topic is important, relevant, and/or innovative.</w:t>
      </w:r>
    </w:p>
    <w:p w14:paraId="489773FB" w14:textId="77777777" w:rsidR="001128FE" w:rsidRDefault="001128FE">
      <w:pPr>
        <w:pBdr>
          <w:top w:val="nil"/>
          <w:left w:val="nil"/>
          <w:bottom w:val="nil"/>
          <w:right w:val="nil"/>
          <w:between w:val="nil"/>
        </w:pBdr>
        <w:spacing w:before="2"/>
        <w:rPr>
          <w:color w:val="000000"/>
          <w:sz w:val="23"/>
          <w:szCs w:val="23"/>
        </w:rPr>
      </w:pPr>
    </w:p>
    <w:p w14:paraId="75494F07" w14:textId="77777777" w:rsidR="001128FE" w:rsidRDefault="00000000">
      <w:pPr>
        <w:pBdr>
          <w:top w:val="nil"/>
          <w:left w:val="nil"/>
          <w:bottom w:val="nil"/>
          <w:right w:val="nil"/>
          <w:between w:val="nil"/>
        </w:pBdr>
        <w:ind w:left="117"/>
        <w:rPr>
          <w:color w:val="000000"/>
        </w:rPr>
      </w:pPr>
      <w:r>
        <w:rPr>
          <w:b/>
          <w:color w:val="000000"/>
        </w:rPr>
        <w:t xml:space="preserve">Author(s): </w:t>
      </w:r>
      <w:r>
        <w:rPr>
          <w:color w:val="000000"/>
        </w:rPr>
        <w:t>Names, titles, and affiliations of all contributing persons.</w:t>
      </w:r>
    </w:p>
    <w:p w14:paraId="1869C07F" w14:textId="77777777" w:rsidR="001128FE" w:rsidRDefault="001128FE">
      <w:pPr>
        <w:pBdr>
          <w:top w:val="nil"/>
          <w:left w:val="nil"/>
          <w:bottom w:val="nil"/>
          <w:right w:val="nil"/>
          <w:between w:val="nil"/>
        </w:pBdr>
        <w:spacing w:before="11"/>
        <w:rPr>
          <w:color w:val="000000"/>
          <w:sz w:val="23"/>
          <w:szCs w:val="23"/>
        </w:rPr>
      </w:pPr>
    </w:p>
    <w:p w14:paraId="2C0A92D7"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Conflict(s) of Interest: </w:t>
      </w:r>
      <w:r>
        <w:rPr>
          <w:color w:val="000000"/>
        </w:rPr>
        <w:t>List any situations in which financial or other personal considerations may compromise, or have the appearance of compromising, the researcher’s professional judgment in conducting and reporting the research.</w:t>
      </w:r>
    </w:p>
    <w:p w14:paraId="2CB01F9E" w14:textId="77777777" w:rsidR="001128FE" w:rsidRDefault="001128FE">
      <w:pPr>
        <w:pBdr>
          <w:top w:val="nil"/>
          <w:left w:val="nil"/>
          <w:bottom w:val="nil"/>
          <w:right w:val="nil"/>
          <w:between w:val="nil"/>
        </w:pBdr>
        <w:spacing w:before="3"/>
        <w:rPr>
          <w:color w:val="000000"/>
          <w:sz w:val="23"/>
          <w:szCs w:val="23"/>
        </w:rPr>
      </w:pPr>
    </w:p>
    <w:p w14:paraId="7BB9BE3F"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Introduction/Background: </w:t>
      </w:r>
      <w:r>
        <w:rPr>
          <w:color w:val="000000"/>
        </w:rPr>
        <w:t>Presents the reason the research was conducted, the importance of the research, or the problem the research is attempting to solve. This is also the location of the hypothesis.</w:t>
      </w:r>
    </w:p>
    <w:p w14:paraId="1FC46C87" w14:textId="77777777" w:rsidR="001128FE" w:rsidRDefault="001128FE">
      <w:pPr>
        <w:pBdr>
          <w:top w:val="nil"/>
          <w:left w:val="nil"/>
          <w:bottom w:val="nil"/>
          <w:right w:val="nil"/>
          <w:between w:val="nil"/>
        </w:pBdr>
        <w:spacing w:before="3"/>
        <w:rPr>
          <w:color w:val="000000"/>
          <w:sz w:val="23"/>
          <w:szCs w:val="23"/>
        </w:rPr>
      </w:pPr>
    </w:p>
    <w:p w14:paraId="4D843169"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Methods: </w:t>
      </w:r>
      <w:r>
        <w:rPr>
          <w:color w:val="000000"/>
        </w:rPr>
        <w:t>Presents the materials and/or approaches utilized to conduct the research and includes the demographic information of the research participant(s).</w:t>
      </w:r>
    </w:p>
    <w:p w14:paraId="63687617" w14:textId="77777777" w:rsidR="001128FE" w:rsidRDefault="001128FE">
      <w:pPr>
        <w:pBdr>
          <w:top w:val="nil"/>
          <w:left w:val="nil"/>
          <w:bottom w:val="nil"/>
          <w:right w:val="nil"/>
          <w:between w:val="nil"/>
        </w:pBdr>
        <w:spacing w:before="3"/>
        <w:rPr>
          <w:color w:val="000000"/>
          <w:sz w:val="23"/>
          <w:szCs w:val="23"/>
        </w:rPr>
      </w:pPr>
    </w:p>
    <w:p w14:paraId="39872E3E"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Results: </w:t>
      </w:r>
      <w:r>
        <w:rPr>
          <w:color w:val="000000"/>
        </w:rPr>
        <w:t xml:space="preserve">Presents the data collected and/or findings observed </w:t>
      </w:r>
      <w:proofErr w:type="gramStart"/>
      <w:r>
        <w:rPr>
          <w:color w:val="000000"/>
        </w:rPr>
        <w:t>as a result of</w:t>
      </w:r>
      <w:proofErr w:type="gramEnd"/>
      <w:r>
        <w:rPr>
          <w:color w:val="000000"/>
        </w:rPr>
        <w:t xml:space="preserve"> conducting the research project.</w:t>
      </w:r>
    </w:p>
    <w:p w14:paraId="1205CADB" w14:textId="77777777" w:rsidR="001128FE" w:rsidRDefault="001128FE">
      <w:pPr>
        <w:pBdr>
          <w:top w:val="nil"/>
          <w:left w:val="nil"/>
          <w:bottom w:val="nil"/>
          <w:right w:val="nil"/>
          <w:between w:val="nil"/>
        </w:pBdr>
        <w:spacing w:before="3"/>
        <w:rPr>
          <w:color w:val="000000"/>
          <w:sz w:val="23"/>
          <w:szCs w:val="23"/>
        </w:rPr>
      </w:pPr>
    </w:p>
    <w:p w14:paraId="0343EE3B" w14:textId="77777777" w:rsidR="001128FE" w:rsidRDefault="00000000">
      <w:pPr>
        <w:pBdr>
          <w:top w:val="nil"/>
          <w:left w:val="nil"/>
          <w:bottom w:val="nil"/>
          <w:right w:val="nil"/>
          <w:between w:val="nil"/>
        </w:pBdr>
        <w:spacing w:line="252" w:lineRule="auto"/>
        <w:ind w:left="117" w:right="428"/>
        <w:rPr>
          <w:color w:val="000000"/>
        </w:rPr>
      </w:pPr>
      <w:r>
        <w:rPr>
          <w:b/>
          <w:color w:val="000000"/>
        </w:rPr>
        <w:t xml:space="preserve">Discussion: </w:t>
      </w:r>
      <w:r>
        <w:rPr>
          <w:color w:val="000000"/>
        </w:rPr>
        <w:t>Presents a concise explanation of what can be concluded and the implications of the research. Addresses the generalizability of the results to populations other than that studied.</w:t>
      </w:r>
    </w:p>
    <w:p w14:paraId="60170986" w14:textId="77777777" w:rsidR="001128FE" w:rsidRDefault="001128FE">
      <w:pPr>
        <w:pBdr>
          <w:top w:val="nil"/>
          <w:left w:val="nil"/>
          <w:bottom w:val="nil"/>
          <w:right w:val="nil"/>
          <w:between w:val="nil"/>
        </w:pBdr>
        <w:spacing w:before="3"/>
        <w:rPr>
          <w:color w:val="000000"/>
          <w:sz w:val="23"/>
          <w:szCs w:val="23"/>
        </w:rPr>
      </w:pPr>
    </w:p>
    <w:p w14:paraId="6ED54D72" w14:textId="77777777" w:rsidR="001128FE" w:rsidRDefault="00000000">
      <w:pPr>
        <w:pBdr>
          <w:top w:val="nil"/>
          <w:left w:val="nil"/>
          <w:bottom w:val="nil"/>
          <w:right w:val="nil"/>
          <w:between w:val="nil"/>
        </w:pBdr>
        <w:spacing w:line="252" w:lineRule="auto"/>
        <w:ind w:left="117" w:right="428"/>
        <w:rPr>
          <w:color w:val="000000"/>
        </w:rPr>
      </w:pPr>
      <w:r>
        <w:rPr>
          <w:b/>
          <w:color w:val="000000"/>
        </w:rPr>
        <w:t xml:space="preserve">Images/Tables/Charts: </w:t>
      </w:r>
      <w:r>
        <w:rPr>
          <w:color w:val="000000"/>
        </w:rPr>
        <w:t>Includes all graphics pertaining to the research. Each graphic should include a title and caption. Be sure to include a legend for the graphic if applicable.</w:t>
      </w:r>
    </w:p>
    <w:p w14:paraId="0808F140" w14:textId="77777777" w:rsidR="001128FE" w:rsidRDefault="001128FE">
      <w:pPr>
        <w:pBdr>
          <w:top w:val="nil"/>
          <w:left w:val="nil"/>
          <w:bottom w:val="nil"/>
          <w:right w:val="nil"/>
          <w:between w:val="nil"/>
        </w:pBdr>
        <w:spacing w:before="9"/>
        <w:rPr>
          <w:color w:val="000000"/>
        </w:rPr>
      </w:pPr>
    </w:p>
    <w:p w14:paraId="5A1BC7D7" w14:textId="77777777" w:rsidR="001128FE" w:rsidRDefault="00000000">
      <w:pPr>
        <w:pBdr>
          <w:top w:val="nil"/>
          <w:left w:val="nil"/>
          <w:bottom w:val="nil"/>
          <w:right w:val="nil"/>
          <w:between w:val="nil"/>
        </w:pBdr>
        <w:spacing w:before="1" w:line="252" w:lineRule="auto"/>
        <w:ind w:left="117"/>
        <w:rPr>
          <w:color w:val="000000"/>
        </w:rPr>
      </w:pPr>
      <w:r>
        <w:rPr>
          <w:b/>
          <w:color w:val="000000"/>
        </w:rPr>
        <w:t xml:space="preserve">References: </w:t>
      </w:r>
      <w:r>
        <w:rPr>
          <w:color w:val="000000"/>
        </w:rPr>
        <w:t>Should be structured using National Library of Medicine (NLM) format, as shown below. References should be listed in numerical order as they appear in the body of the abstract.</w:t>
      </w:r>
    </w:p>
    <w:p w14:paraId="76CE67A8" w14:textId="77777777" w:rsidR="001128FE" w:rsidRDefault="001128FE">
      <w:pPr>
        <w:pBdr>
          <w:top w:val="nil"/>
          <w:left w:val="nil"/>
          <w:bottom w:val="nil"/>
          <w:right w:val="nil"/>
          <w:between w:val="nil"/>
        </w:pBdr>
        <w:spacing w:before="2"/>
        <w:rPr>
          <w:color w:val="000000"/>
          <w:sz w:val="23"/>
          <w:szCs w:val="23"/>
        </w:rPr>
      </w:pPr>
    </w:p>
    <w:p w14:paraId="676B8F17" w14:textId="77777777" w:rsidR="001128FE" w:rsidRDefault="00000000">
      <w:pPr>
        <w:pBdr>
          <w:top w:val="nil"/>
          <w:left w:val="nil"/>
          <w:bottom w:val="nil"/>
          <w:right w:val="nil"/>
          <w:between w:val="nil"/>
        </w:pBdr>
        <w:ind w:left="117"/>
        <w:rPr>
          <w:color w:val="000000"/>
        </w:rPr>
      </w:pPr>
      <w:r>
        <w:rPr>
          <w:color w:val="000000"/>
        </w:rPr>
        <w:t>NLM Reference Format:</w:t>
      </w:r>
    </w:p>
    <w:p w14:paraId="245D5753" w14:textId="77777777" w:rsidR="001128FE" w:rsidRDefault="00000000">
      <w:pPr>
        <w:pBdr>
          <w:top w:val="nil"/>
          <w:left w:val="nil"/>
          <w:bottom w:val="nil"/>
          <w:right w:val="nil"/>
          <w:between w:val="nil"/>
        </w:pBdr>
        <w:spacing w:before="14" w:line="252" w:lineRule="auto"/>
        <w:ind w:left="117"/>
        <w:rPr>
          <w:color w:val="000000"/>
        </w:rPr>
        <w:sectPr w:rsidR="001128FE" w:rsidSect="007A544F">
          <w:pgSz w:w="12240" w:h="15840"/>
          <w:pgMar w:top="1660" w:right="1340" w:bottom="900" w:left="1320" w:header="402" w:footer="702" w:gutter="0"/>
          <w:cols w:space="720"/>
        </w:sectPr>
      </w:pPr>
      <w:r>
        <w:rPr>
          <w:color w:val="000000"/>
        </w:rPr>
        <w:t xml:space="preserve">List of authors (Last name, </w:t>
      </w:r>
      <w:proofErr w:type="gramStart"/>
      <w:r>
        <w:rPr>
          <w:color w:val="000000"/>
        </w:rPr>
        <w:t>First</w:t>
      </w:r>
      <w:proofErr w:type="gramEnd"/>
      <w:r>
        <w:rPr>
          <w:color w:val="000000"/>
        </w:rPr>
        <w:t xml:space="preserve"> initial, Middle initial). Title of article. </w:t>
      </w:r>
      <w:r>
        <w:rPr>
          <w:i/>
          <w:color w:val="000000"/>
        </w:rPr>
        <w:t>Journal name</w:t>
      </w:r>
      <w:r>
        <w:rPr>
          <w:color w:val="000000"/>
        </w:rPr>
        <w:t xml:space="preserve">. Date of </w:t>
      </w:r>
      <w:proofErr w:type="spellStart"/>
      <w:proofErr w:type="gramStart"/>
      <w:r>
        <w:rPr>
          <w:color w:val="000000"/>
        </w:rPr>
        <w:t>publication;Volume</w:t>
      </w:r>
      <w:proofErr w:type="spellEnd"/>
      <w:proofErr w:type="gramEnd"/>
      <w:r>
        <w:rPr>
          <w:color w:val="000000"/>
        </w:rPr>
        <w:t xml:space="preserve"> number(Issue number):Page number(s). Location (URL, PMID, or DOI)</w:t>
      </w:r>
    </w:p>
    <w:p w14:paraId="2BEBC932" w14:textId="77777777" w:rsidR="001128FE" w:rsidRDefault="001128FE">
      <w:pPr>
        <w:pBdr>
          <w:top w:val="nil"/>
          <w:left w:val="nil"/>
          <w:bottom w:val="nil"/>
          <w:right w:val="nil"/>
          <w:between w:val="nil"/>
        </w:pBdr>
        <w:spacing w:before="11"/>
        <w:rPr>
          <w:color w:val="000000"/>
          <w:sz w:val="25"/>
          <w:szCs w:val="25"/>
        </w:rPr>
      </w:pPr>
    </w:p>
    <w:p w14:paraId="0F9245EE" w14:textId="77777777" w:rsidR="001128FE" w:rsidRDefault="00000000">
      <w:pPr>
        <w:pStyle w:val="Heading1"/>
        <w:ind w:firstLine="117"/>
        <w:rPr>
          <w:u w:val="none"/>
        </w:rPr>
      </w:pPr>
      <w:r>
        <w:t>Abstract Presentation Submission Format – Case Report</w:t>
      </w:r>
    </w:p>
    <w:p w14:paraId="799168DD" w14:textId="77777777" w:rsidR="001128FE" w:rsidRDefault="00000000">
      <w:pPr>
        <w:pBdr>
          <w:top w:val="nil"/>
          <w:left w:val="nil"/>
          <w:bottom w:val="nil"/>
          <w:right w:val="nil"/>
          <w:between w:val="nil"/>
        </w:pBdr>
        <w:spacing w:before="14"/>
        <w:ind w:left="117"/>
        <w:rPr>
          <w:color w:val="000000"/>
        </w:rPr>
      </w:pPr>
      <w:r>
        <w:rPr>
          <w:color w:val="000000"/>
        </w:rPr>
        <w:t>Please submit your abstract following the format presented below.</w:t>
      </w:r>
    </w:p>
    <w:p w14:paraId="5A70E955" w14:textId="77777777" w:rsidR="001128FE" w:rsidRDefault="001128FE">
      <w:pPr>
        <w:pBdr>
          <w:top w:val="nil"/>
          <w:left w:val="nil"/>
          <w:bottom w:val="nil"/>
          <w:right w:val="nil"/>
          <w:between w:val="nil"/>
        </w:pBdr>
        <w:spacing w:before="3"/>
        <w:rPr>
          <w:color w:val="000000"/>
          <w:sz w:val="24"/>
          <w:szCs w:val="24"/>
        </w:rPr>
      </w:pPr>
    </w:p>
    <w:p w14:paraId="38B4563E"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Title: </w:t>
      </w:r>
      <w:proofErr w:type="gramStart"/>
      <w:r>
        <w:rPr>
          <w:color w:val="000000"/>
        </w:rPr>
        <w:t>Brief summary</w:t>
      </w:r>
      <w:proofErr w:type="gramEnd"/>
      <w:r>
        <w:rPr>
          <w:color w:val="000000"/>
        </w:rPr>
        <w:t xml:space="preserve"> of the abstract convincing the reader the topic is important, relevant, and/or innovative.</w:t>
      </w:r>
    </w:p>
    <w:p w14:paraId="795D65BB" w14:textId="77777777" w:rsidR="001128FE" w:rsidRDefault="001128FE">
      <w:pPr>
        <w:pBdr>
          <w:top w:val="nil"/>
          <w:left w:val="nil"/>
          <w:bottom w:val="nil"/>
          <w:right w:val="nil"/>
          <w:between w:val="nil"/>
        </w:pBdr>
        <w:spacing w:before="10"/>
        <w:rPr>
          <w:color w:val="000000"/>
        </w:rPr>
      </w:pPr>
    </w:p>
    <w:p w14:paraId="0F14B5A4" w14:textId="77777777" w:rsidR="001128FE" w:rsidRDefault="00000000">
      <w:pPr>
        <w:pBdr>
          <w:top w:val="nil"/>
          <w:left w:val="nil"/>
          <w:bottom w:val="nil"/>
          <w:right w:val="nil"/>
          <w:between w:val="nil"/>
        </w:pBdr>
        <w:ind w:left="117"/>
        <w:rPr>
          <w:color w:val="000000"/>
        </w:rPr>
      </w:pPr>
      <w:r>
        <w:rPr>
          <w:b/>
          <w:color w:val="000000"/>
        </w:rPr>
        <w:t xml:space="preserve">Author(s): </w:t>
      </w:r>
      <w:r>
        <w:rPr>
          <w:color w:val="000000"/>
        </w:rPr>
        <w:t>Names, titles, and affiliations of all contributing persons.</w:t>
      </w:r>
    </w:p>
    <w:p w14:paraId="28890E0D" w14:textId="77777777" w:rsidR="001128FE" w:rsidRDefault="001128FE">
      <w:pPr>
        <w:pBdr>
          <w:top w:val="nil"/>
          <w:left w:val="nil"/>
          <w:bottom w:val="nil"/>
          <w:right w:val="nil"/>
          <w:between w:val="nil"/>
        </w:pBdr>
        <w:spacing w:before="3"/>
        <w:rPr>
          <w:color w:val="000000"/>
          <w:sz w:val="24"/>
          <w:szCs w:val="24"/>
        </w:rPr>
      </w:pPr>
    </w:p>
    <w:p w14:paraId="2CECC86A" w14:textId="77777777" w:rsidR="001128FE" w:rsidRDefault="00000000">
      <w:pPr>
        <w:pBdr>
          <w:top w:val="nil"/>
          <w:left w:val="nil"/>
          <w:bottom w:val="nil"/>
          <w:right w:val="nil"/>
          <w:between w:val="nil"/>
        </w:pBdr>
        <w:spacing w:before="1" w:line="252" w:lineRule="auto"/>
        <w:ind w:left="117"/>
        <w:rPr>
          <w:color w:val="000000"/>
        </w:rPr>
      </w:pPr>
      <w:r>
        <w:rPr>
          <w:b/>
          <w:color w:val="000000"/>
        </w:rPr>
        <w:t xml:space="preserve">Conflict(s) of Interest: </w:t>
      </w:r>
      <w:r>
        <w:rPr>
          <w:color w:val="000000"/>
        </w:rPr>
        <w:t>List any situations in which financial or other personal considerations may compromise, or have the appearance of compromising, the researcher’s professional judgment in conducting and reporting the research.</w:t>
      </w:r>
    </w:p>
    <w:p w14:paraId="12D14D1F" w14:textId="77777777" w:rsidR="001128FE" w:rsidRDefault="001128FE">
      <w:pPr>
        <w:pBdr>
          <w:top w:val="nil"/>
          <w:left w:val="nil"/>
          <w:bottom w:val="nil"/>
          <w:right w:val="nil"/>
          <w:between w:val="nil"/>
        </w:pBdr>
        <w:spacing w:before="3"/>
        <w:rPr>
          <w:color w:val="000000"/>
          <w:sz w:val="23"/>
          <w:szCs w:val="23"/>
        </w:rPr>
      </w:pPr>
    </w:p>
    <w:p w14:paraId="02886419" w14:textId="77777777" w:rsidR="001128FE" w:rsidRDefault="00000000">
      <w:pPr>
        <w:pBdr>
          <w:top w:val="nil"/>
          <w:left w:val="nil"/>
          <w:bottom w:val="nil"/>
          <w:right w:val="nil"/>
          <w:between w:val="nil"/>
        </w:pBdr>
        <w:spacing w:line="252" w:lineRule="auto"/>
        <w:ind w:left="117" w:right="404"/>
        <w:rPr>
          <w:color w:val="000000"/>
        </w:rPr>
      </w:pPr>
      <w:r>
        <w:rPr>
          <w:b/>
          <w:color w:val="000000"/>
        </w:rPr>
        <w:t xml:space="preserve">Background: </w:t>
      </w:r>
      <w:r>
        <w:rPr>
          <w:color w:val="000000"/>
        </w:rPr>
        <w:t>Presents information relevant to understanding the case (ex: pathophysiology, etiology, clinical features, etc.)</w:t>
      </w:r>
    </w:p>
    <w:p w14:paraId="4574D1A6" w14:textId="77777777" w:rsidR="001128FE" w:rsidRDefault="001128FE">
      <w:pPr>
        <w:pBdr>
          <w:top w:val="nil"/>
          <w:left w:val="nil"/>
          <w:bottom w:val="nil"/>
          <w:right w:val="nil"/>
          <w:between w:val="nil"/>
        </w:pBdr>
        <w:spacing w:before="3"/>
        <w:rPr>
          <w:color w:val="000000"/>
          <w:sz w:val="23"/>
          <w:szCs w:val="23"/>
        </w:rPr>
      </w:pPr>
    </w:p>
    <w:p w14:paraId="2D9B9A7C"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Case: </w:t>
      </w:r>
      <w:r>
        <w:rPr>
          <w:color w:val="000000"/>
        </w:rPr>
        <w:t>Presents the pertinent history and physical exam findings and lab and diagnostic results of the patient.</w:t>
      </w:r>
    </w:p>
    <w:p w14:paraId="458254F9" w14:textId="77777777" w:rsidR="001128FE" w:rsidRDefault="001128FE">
      <w:pPr>
        <w:pBdr>
          <w:top w:val="nil"/>
          <w:left w:val="nil"/>
          <w:bottom w:val="nil"/>
          <w:right w:val="nil"/>
          <w:between w:val="nil"/>
        </w:pBdr>
        <w:spacing w:before="3"/>
        <w:rPr>
          <w:color w:val="000000"/>
          <w:sz w:val="23"/>
          <w:szCs w:val="23"/>
        </w:rPr>
      </w:pPr>
    </w:p>
    <w:p w14:paraId="3402AAB3" w14:textId="77777777" w:rsidR="001128FE" w:rsidRDefault="00000000">
      <w:pPr>
        <w:pBdr>
          <w:top w:val="nil"/>
          <w:left w:val="nil"/>
          <w:bottom w:val="nil"/>
          <w:right w:val="nil"/>
          <w:between w:val="nil"/>
        </w:pBdr>
        <w:spacing w:line="252" w:lineRule="auto"/>
        <w:ind w:left="117"/>
        <w:rPr>
          <w:color w:val="000000"/>
        </w:rPr>
      </w:pPr>
      <w:r>
        <w:rPr>
          <w:b/>
          <w:color w:val="000000"/>
        </w:rPr>
        <w:t xml:space="preserve">Discussion: </w:t>
      </w:r>
      <w:r>
        <w:rPr>
          <w:color w:val="000000"/>
        </w:rPr>
        <w:t>Presents a concise explanation of why this case is unique to the patient’s condition and how this new information can be generalized to other patients and populations.</w:t>
      </w:r>
    </w:p>
    <w:p w14:paraId="655B717D" w14:textId="77777777" w:rsidR="001128FE" w:rsidRDefault="001128FE">
      <w:pPr>
        <w:pBdr>
          <w:top w:val="nil"/>
          <w:left w:val="nil"/>
          <w:bottom w:val="nil"/>
          <w:right w:val="nil"/>
          <w:between w:val="nil"/>
        </w:pBdr>
        <w:spacing w:before="3"/>
        <w:rPr>
          <w:color w:val="000000"/>
          <w:sz w:val="23"/>
          <w:szCs w:val="23"/>
        </w:rPr>
      </w:pPr>
    </w:p>
    <w:p w14:paraId="001DA7CC" w14:textId="77777777" w:rsidR="001128FE" w:rsidRDefault="00000000">
      <w:pPr>
        <w:pBdr>
          <w:top w:val="nil"/>
          <w:left w:val="nil"/>
          <w:bottom w:val="nil"/>
          <w:right w:val="nil"/>
          <w:between w:val="nil"/>
        </w:pBdr>
        <w:spacing w:line="252" w:lineRule="auto"/>
        <w:ind w:left="117" w:right="219"/>
        <w:rPr>
          <w:color w:val="000000"/>
        </w:rPr>
      </w:pPr>
      <w:r>
        <w:rPr>
          <w:b/>
          <w:color w:val="000000"/>
        </w:rPr>
        <w:t xml:space="preserve">Images/Tables/Charts: </w:t>
      </w:r>
      <w:r>
        <w:rPr>
          <w:color w:val="000000"/>
        </w:rPr>
        <w:t>Includes all graphics pertaining to the case. Each graphic should include a title and caption. Be sure to include a legend for the graphic if applicable.</w:t>
      </w:r>
    </w:p>
    <w:p w14:paraId="0CBAF95B" w14:textId="77777777" w:rsidR="001128FE" w:rsidRDefault="001128FE">
      <w:pPr>
        <w:pBdr>
          <w:top w:val="nil"/>
          <w:left w:val="nil"/>
          <w:bottom w:val="nil"/>
          <w:right w:val="nil"/>
          <w:between w:val="nil"/>
        </w:pBdr>
        <w:spacing w:before="2"/>
        <w:rPr>
          <w:color w:val="000000"/>
          <w:sz w:val="23"/>
          <w:szCs w:val="23"/>
        </w:rPr>
      </w:pPr>
    </w:p>
    <w:p w14:paraId="7BFCCD08" w14:textId="77777777" w:rsidR="001128FE" w:rsidRDefault="00000000">
      <w:pPr>
        <w:pBdr>
          <w:top w:val="nil"/>
          <w:left w:val="nil"/>
          <w:bottom w:val="nil"/>
          <w:right w:val="nil"/>
          <w:between w:val="nil"/>
        </w:pBdr>
        <w:spacing w:before="1" w:line="252" w:lineRule="auto"/>
        <w:ind w:left="117"/>
        <w:rPr>
          <w:color w:val="000000"/>
        </w:rPr>
      </w:pPr>
      <w:r>
        <w:rPr>
          <w:b/>
          <w:color w:val="000000"/>
        </w:rPr>
        <w:t xml:space="preserve">References: </w:t>
      </w:r>
      <w:r>
        <w:rPr>
          <w:color w:val="000000"/>
        </w:rPr>
        <w:t>Should be structured using National Library of Medicine (NLM) format, as shown below. References should be listed in numerical order as they appear in the body of the abstract.</w:t>
      </w:r>
    </w:p>
    <w:p w14:paraId="2C52A43C" w14:textId="77777777" w:rsidR="001128FE" w:rsidRDefault="001128FE">
      <w:pPr>
        <w:pBdr>
          <w:top w:val="nil"/>
          <w:left w:val="nil"/>
          <w:bottom w:val="nil"/>
          <w:right w:val="nil"/>
          <w:between w:val="nil"/>
        </w:pBdr>
        <w:spacing w:before="9"/>
        <w:rPr>
          <w:color w:val="000000"/>
        </w:rPr>
      </w:pPr>
    </w:p>
    <w:p w14:paraId="7973518F" w14:textId="77777777" w:rsidR="001128FE" w:rsidRDefault="00000000">
      <w:pPr>
        <w:pBdr>
          <w:top w:val="nil"/>
          <w:left w:val="nil"/>
          <w:bottom w:val="nil"/>
          <w:right w:val="nil"/>
          <w:between w:val="nil"/>
        </w:pBdr>
        <w:ind w:left="117"/>
        <w:rPr>
          <w:color w:val="000000"/>
        </w:rPr>
      </w:pPr>
      <w:r>
        <w:rPr>
          <w:color w:val="000000"/>
        </w:rPr>
        <w:t>NLM Reference Format:</w:t>
      </w:r>
    </w:p>
    <w:p w14:paraId="580CCAE4" w14:textId="77777777" w:rsidR="001128FE" w:rsidRDefault="00000000">
      <w:pPr>
        <w:pBdr>
          <w:top w:val="nil"/>
          <w:left w:val="nil"/>
          <w:bottom w:val="nil"/>
          <w:right w:val="nil"/>
          <w:between w:val="nil"/>
        </w:pBdr>
        <w:spacing w:before="14" w:line="252" w:lineRule="auto"/>
        <w:ind w:left="117"/>
        <w:rPr>
          <w:color w:val="000000"/>
        </w:rPr>
        <w:sectPr w:rsidR="001128FE" w:rsidSect="007A544F">
          <w:pgSz w:w="12240" w:h="15840"/>
          <w:pgMar w:top="1660" w:right="1340" w:bottom="900" w:left="1320" w:header="402" w:footer="702" w:gutter="0"/>
          <w:cols w:space="720"/>
        </w:sectPr>
      </w:pPr>
      <w:r>
        <w:rPr>
          <w:color w:val="000000"/>
        </w:rPr>
        <w:t xml:space="preserve">List of authors (Last name, </w:t>
      </w:r>
      <w:proofErr w:type="gramStart"/>
      <w:r>
        <w:rPr>
          <w:color w:val="000000"/>
        </w:rPr>
        <w:t>First</w:t>
      </w:r>
      <w:proofErr w:type="gramEnd"/>
      <w:r>
        <w:rPr>
          <w:color w:val="000000"/>
        </w:rPr>
        <w:t xml:space="preserve"> initial, Middle initial). Title of article. </w:t>
      </w:r>
      <w:r>
        <w:rPr>
          <w:i/>
          <w:color w:val="000000"/>
        </w:rPr>
        <w:t>Journal name</w:t>
      </w:r>
      <w:r>
        <w:rPr>
          <w:color w:val="000000"/>
        </w:rPr>
        <w:t xml:space="preserve">. Date of </w:t>
      </w:r>
      <w:proofErr w:type="spellStart"/>
      <w:proofErr w:type="gramStart"/>
      <w:r>
        <w:rPr>
          <w:color w:val="000000"/>
        </w:rPr>
        <w:t>publication;Volume</w:t>
      </w:r>
      <w:proofErr w:type="spellEnd"/>
      <w:proofErr w:type="gramEnd"/>
      <w:r>
        <w:rPr>
          <w:color w:val="000000"/>
        </w:rPr>
        <w:t xml:space="preserve"> number(Issue number):Page number(s). Location (URL, PMID, or DOI)</w:t>
      </w:r>
    </w:p>
    <w:p w14:paraId="7DD0750D" w14:textId="77777777" w:rsidR="001128FE" w:rsidRDefault="001128FE">
      <w:pPr>
        <w:pBdr>
          <w:top w:val="nil"/>
          <w:left w:val="nil"/>
          <w:bottom w:val="nil"/>
          <w:right w:val="nil"/>
          <w:between w:val="nil"/>
        </w:pBdr>
        <w:spacing w:before="9"/>
        <w:rPr>
          <w:color w:val="000000"/>
          <w:sz w:val="23"/>
          <w:szCs w:val="23"/>
        </w:rPr>
      </w:pPr>
    </w:p>
    <w:p w14:paraId="412766F6" w14:textId="77777777" w:rsidR="001128FE" w:rsidRDefault="00000000">
      <w:pPr>
        <w:spacing w:before="104"/>
        <w:ind w:left="2655" w:right="2639"/>
        <w:jc w:val="center"/>
        <w:rPr>
          <w:b/>
        </w:rPr>
      </w:pPr>
      <w:r>
        <w:rPr>
          <w:b/>
          <w:u w:val="single"/>
        </w:rPr>
        <w:t>Sample Abstract Presentation Submission</w:t>
      </w:r>
    </w:p>
    <w:p w14:paraId="1FA5D34C" w14:textId="77777777" w:rsidR="001128FE" w:rsidRDefault="001128FE">
      <w:pPr>
        <w:pBdr>
          <w:top w:val="nil"/>
          <w:left w:val="nil"/>
          <w:bottom w:val="nil"/>
          <w:right w:val="nil"/>
          <w:between w:val="nil"/>
        </w:pBdr>
        <w:spacing w:before="3"/>
        <w:rPr>
          <w:b/>
          <w:color w:val="000000"/>
          <w:sz w:val="24"/>
          <w:szCs w:val="24"/>
        </w:rPr>
      </w:pPr>
    </w:p>
    <w:p w14:paraId="37A7BB9D" w14:textId="77777777" w:rsidR="001128FE" w:rsidRDefault="00000000">
      <w:pPr>
        <w:ind w:left="117"/>
        <w:rPr>
          <w:b/>
        </w:rPr>
      </w:pPr>
      <w:r>
        <w:rPr>
          <w:b/>
        </w:rPr>
        <w:t>Title:</w:t>
      </w:r>
    </w:p>
    <w:p w14:paraId="38D547EF" w14:textId="77777777" w:rsidR="001128FE" w:rsidRDefault="00000000">
      <w:pPr>
        <w:spacing w:before="14" w:line="252" w:lineRule="auto"/>
        <w:ind w:left="117" w:right="891"/>
        <w:rPr>
          <w:sz w:val="24"/>
          <w:szCs w:val="24"/>
        </w:rPr>
      </w:pPr>
      <w:r>
        <w:rPr>
          <w:sz w:val="24"/>
          <w:szCs w:val="24"/>
        </w:rPr>
        <w:t>Impact of Common Co-Morbidities on Short-Term In-Patient Hospital Outcomes in Total Shoulder Arthroplasty vs Reverse Total Shoulder Arthroplasty</w:t>
      </w:r>
    </w:p>
    <w:p w14:paraId="693563C1" w14:textId="77777777" w:rsidR="001128FE" w:rsidRDefault="001128FE">
      <w:pPr>
        <w:pBdr>
          <w:top w:val="nil"/>
          <w:left w:val="nil"/>
          <w:bottom w:val="nil"/>
          <w:right w:val="nil"/>
          <w:between w:val="nil"/>
        </w:pBdr>
        <w:spacing w:before="9"/>
        <w:rPr>
          <w:color w:val="000000"/>
        </w:rPr>
      </w:pPr>
    </w:p>
    <w:p w14:paraId="4040CB57" w14:textId="77777777" w:rsidR="001128FE" w:rsidRDefault="00000000">
      <w:pPr>
        <w:ind w:left="117"/>
        <w:rPr>
          <w:b/>
        </w:rPr>
      </w:pPr>
      <w:r>
        <w:rPr>
          <w:b/>
        </w:rPr>
        <w:t>Author(s):</w:t>
      </w:r>
    </w:p>
    <w:p w14:paraId="10C5957C" w14:textId="77777777" w:rsidR="001128FE" w:rsidRDefault="00000000">
      <w:pPr>
        <w:pBdr>
          <w:top w:val="nil"/>
          <w:left w:val="nil"/>
          <w:bottom w:val="nil"/>
          <w:right w:val="nil"/>
          <w:between w:val="nil"/>
        </w:pBdr>
        <w:spacing w:before="13" w:line="252" w:lineRule="auto"/>
        <w:ind w:left="117" w:right="1860"/>
        <w:rPr>
          <w:color w:val="000000"/>
        </w:rPr>
      </w:pPr>
      <w:r>
        <w:rPr>
          <w:color w:val="000000"/>
        </w:rPr>
        <w:t>Zakary Rose-Reneau, OMS3, Kansas City University of Medicine and Biosciences Blake Stepanovich, DO, St. Mary’s Hospital Orthopedic Surgery Residency</w:t>
      </w:r>
    </w:p>
    <w:p w14:paraId="07047777" w14:textId="77777777" w:rsidR="001128FE" w:rsidRDefault="00000000">
      <w:pPr>
        <w:pBdr>
          <w:top w:val="nil"/>
          <w:left w:val="nil"/>
          <w:bottom w:val="nil"/>
          <w:right w:val="nil"/>
          <w:between w:val="nil"/>
        </w:pBdr>
        <w:spacing w:before="1" w:line="252" w:lineRule="auto"/>
        <w:ind w:left="117" w:right="3491"/>
        <w:rPr>
          <w:color w:val="000000"/>
        </w:rPr>
      </w:pPr>
      <w:r>
        <w:rPr>
          <w:color w:val="000000"/>
        </w:rPr>
        <w:t>Elijah Miller, DO, St. Mary’s Hospital Orthopedic Surgery Residency David Dugan, DO, Orthopedics and Sports Medicine Institute</w:t>
      </w:r>
    </w:p>
    <w:p w14:paraId="5167B34C" w14:textId="77777777" w:rsidR="001128FE" w:rsidRDefault="001128FE">
      <w:pPr>
        <w:pBdr>
          <w:top w:val="nil"/>
          <w:left w:val="nil"/>
          <w:bottom w:val="nil"/>
          <w:right w:val="nil"/>
          <w:between w:val="nil"/>
        </w:pBdr>
        <w:spacing w:before="3"/>
        <w:rPr>
          <w:color w:val="000000"/>
          <w:sz w:val="23"/>
          <w:szCs w:val="23"/>
        </w:rPr>
      </w:pPr>
    </w:p>
    <w:p w14:paraId="125644C0" w14:textId="77777777" w:rsidR="001128FE" w:rsidRDefault="00000000">
      <w:pPr>
        <w:ind w:left="117"/>
        <w:rPr>
          <w:b/>
        </w:rPr>
      </w:pPr>
      <w:r>
        <w:rPr>
          <w:b/>
        </w:rPr>
        <w:t>Conflict(s) of Interest:</w:t>
      </w:r>
    </w:p>
    <w:p w14:paraId="129840EF" w14:textId="77777777" w:rsidR="001128FE" w:rsidRDefault="00000000">
      <w:pPr>
        <w:pBdr>
          <w:top w:val="nil"/>
          <w:left w:val="nil"/>
          <w:bottom w:val="nil"/>
          <w:right w:val="nil"/>
          <w:between w:val="nil"/>
        </w:pBdr>
        <w:spacing w:before="14"/>
        <w:ind w:left="117"/>
        <w:rPr>
          <w:color w:val="000000"/>
        </w:rPr>
      </w:pPr>
      <w:r>
        <w:rPr>
          <w:color w:val="000000"/>
        </w:rPr>
        <w:t>The authors declare there is no conflict of interest.</w:t>
      </w:r>
    </w:p>
    <w:p w14:paraId="75FFD9BA" w14:textId="77777777" w:rsidR="001128FE" w:rsidRDefault="001128FE">
      <w:pPr>
        <w:pBdr>
          <w:top w:val="nil"/>
          <w:left w:val="nil"/>
          <w:bottom w:val="nil"/>
          <w:right w:val="nil"/>
          <w:between w:val="nil"/>
        </w:pBdr>
        <w:spacing w:before="3"/>
        <w:rPr>
          <w:color w:val="000000"/>
          <w:sz w:val="24"/>
          <w:szCs w:val="24"/>
        </w:rPr>
      </w:pPr>
    </w:p>
    <w:p w14:paraId="7350AAA8" w14:textId="77777777" w:rsidR="001128FE" w:rsidRDefault="00000000">
      <w:pPr>
        <w:ind w:left="117"/>
        <w:rPr>
          <w:b/>
        </w:rPr>
      </w:pPr>
      <w:r>
        <w:rPr>
          <w:b/>
        </w:rPr>
        <w:t>Introduction:</w:t>
      </w:r>
    </w:p>
    <w:p w14:paraId="78AFD30F" w14:textId="77777777" w:rsidR="001128FE" w:rsidRDefault="00000000">
      <w:pPr>
        <w:spacing w:before="14" w:line="249" w:lineRule="auto"/>
        <w:ind w:left="117" w:right="219"/>
        <w:rPr>
          <w:sz w:val="24"/>
          <w:szCs w:val="24"/>
        </w:rPr>
      </w:pPr>
      <w:r>
        <w:rPr>
          <w:sz w:val="24"/>
          <w:szCs w:val="24"/>
        </w:rPr>
        <w:t xml:space="preserve">Arthroplasty has been used as a treatment option for shoulder disorders for </w:t>
      </w:r>
      <w:proofErr w:type="gramStart"/>
      <w:r>
        <w:rPr>
          <w:sz w:val="24"/>
          <w:szCs w:val="24"/>
        </w:rPr>
        <w:t>a number of</w:t>
      </w:r>
      <w:proofErr w:type="gramEnd"/>
      <w:r>
        <w:rPr>
          <w:sz w:val="24"/>
          <w:szCs w:val="24"/>
        </w:rPr>
        <w:t xml:space="preserve"> years in the United States. The use of total shoulder arthroplasty (TSA) and reverse total shoulder arthroplasty (RTSA) has increased significantly in recent years</w:t>
      </w:r>
      <w:r>
        <w:rPr>
          <w:sz w:val="26"/>
          <w:szCs w:val="26"/>
          <w:vertAlign w:val="superscript"/>
        </w:rPr>
        <w:t>1,2</w:t>
      </w:r>
      <w:r>
        <w:rPr>
          <w:sz w:val="24"/>
          <w:szCs w:val="24"/>
        </w:rPr>
        <w:t>. There were over 66,000 shoulder arthroplasty procedures performed in the United States in 2011</w:t>
      </w:r>
      <w:r>
        <w:rPr>
          <w:sz w:val="26"/>
          <w:szCs w:val="26"/>
          <w:vertAlign w:val="superscript"/>
        </w:rPr>
        <w:t>2</w:t>
      </w:r>
      <w:r>
        <w:rPr>
          <w:sz w:val="24"/>
          <w:szCs w:val="24"/>
        </w:rPr>
        <w:t>. Rosas et al showed that reimbursement was significantly impacted by comorbidities in a retrospective study of private payer insurance claims</w:t>
      </w:r>
      <w:r>
        <w:rPr>
          <w:sz w:val="26"/>
          <w:szCs w:val="26"/>
          <w:vertAlign w:val="superscript"/>
        </w:rPr>
        <w:t>3</w:t>
      </w:r>
      <w:r>
        <w:rPr>
          <w:sz w:val="24"/>
          <w:szCs w:val="24"/>
        </w:rPr>
        <w:t>. Other studies have shown decreased functional outcomes in patients with medical comorbidities</w:t>
      </w:r>
      <w:r>
        <w:rPr>
          <w:sz w:val="26"/>
          <w:szCs w:val="26"/>
          <w:vertAlign w:val="superscript"/>
        </w:rPr>
        <w:t>4</w:t>
      </w:r>
      <w:r>
        <w:rPr>
          <w:sz w:val="24"/>
          <w:szCs w:val="24"/>
        </w:rPr>
        <w:t>. The goal of this study is to show the effect of comorbidities on costs, length of stay (LOS), age at admission, and mortality rate.</w:t>
      </w:r>
    </w:p>
    <w:p w14:paraId="0C40D32C" w14:textId="77777777" w:rsidR="001128FE" w:rsidRDefault="001128FE">
      <w:pPr>
        <w:pBdr>
          <w:top w:val="nil"/>
          <w:left w:val="nil"/>
          <w:bottom w:val="nil"/>
          <w:right w:val="nil"/>
          <w:between w:val="nil"/>
        </w:pBdr>
        <w:spacing w:before="5"/>
        <w:rPr>
          <w:color w:val="000000"/>
          <w:sz w:val="23"/>
          <w:szCs w:val="23"/>
        </w:rPr>
      </w:pPr>
    </w:p>
    <w:p w14:paraId="2DF2080A" w14:textId="77777777" w:rsidR="001128FE" w:rsidRDefault="00000000">
      <w:pPr>
        <w:ind w:left="117"/>
        <w:rPr>
          <w:b/>
        </w:rPr>
      </w:pPr>
      <w:r>
        <w:rPr>
          <w:b/>
        </w:rPr>
        <w:t>Methods:</w:t>
      </w:r>
    </w:p>
    <w:p w14:paraId="392B454B" w14:textId="77777777" w:rsidR="001128FE" w:rsidRDefault="00000000">
      <w:pPr>
        <w:spacing w:before="14" w:line="252" w:lineRule="auto"/>
        <w:ind w:left="117" w:right="88"/>
        <w:rPr>
          <w:sz w:val="24"/>
          <w:szCs w:val="24"/>
        </w:rPr>
      </w:pPr>
      <w:r>
        <w:rPr>
          <w:sz w:val="24"/>
          <w:szCs w:val="24"/>
        </w:rPr>
        <w:t>This retrospective cohort study utilized data from the Nationwide Inpatient Sample (NIS) to identify adult patients (18+) from 2012-2014 who experienced a TSA or RTSA. Of those patients, adult patients were identified using the International Classification of Diseases, 9th edition (ICD-</w:t>
      </w:r>
    </w:p>
    <w:p w14:paraId="4C0E2A08" w14:textId="77777777" w:rsidR="001128FE" w:rsidRDefault="00000000">
      <w:pPr>
        <w:numPr>
          <w:ilvl w:val="0"/>
          <w:numId w:val="1"/>
        </w:numPr>
        <w:pBdr>
          <w:top w:val="nil"/>
          <w:left w:val="nil"/>
          <w:bottom w:val="nil"/>
          <w:right w:val="nil"/>
          <w:between w:val="nil"/>
        </w:pBdr>
        <w:tabs>
          <w:tab w:val="left" w:pos="367"/>
        </w:tabs>
        <w:spacing w:before="1" w:line="252" w:lineRule="auto"/>
        <w:ind w:right="264" w:firstLine="0"/>
        <w:rPr>
          <w:color w:val="000000"/>
          <w:sz w:val="24"/>
          <w:szCs w:val="24"/>
        </w:rPr>
      </w:pPr>
      <w:r>
        <w:rPr>
          <w:color w:val="000000"/>
          <w:sz w:val="24"/>
          <w:szCs w:val="24"/>
        </w:rPr>
        <w:t xml:space="preserve">codes who were diagnosed with CHF, HTNx HTN, CPD, DM, </w:t>
      </w:r>
      <w:proofErr w:type="spellStart"/>
      <w:r>
        <w:rPr>
          <w:color w:val="000000"/>
          <w:sz w:val="24"/>
          <w:szCs w:val="24"/>
        </w:rPr>
        <w:t>DMx</w:t>
      </w:r>
      <w:proofErr w:type="spellEnd"/>
      <w:r>
        <w:rPr>
          <w:color w:val="000000"/>
          <w:sz w:val="24"/>
          <w:szCs w:val="24"/>
        </w:rPr>
        <w:t>, COAG, OBESE, anemia, and/or PVD. Patients missing important clinical identifiers (age, gender, death) were excluded. Data analyses assessed hospital LOS, inpatient charges, age at admission, and mortality rate. For LOS, age at admission, and inpatient charges an independent samples t-test was used. For mortality rate, means were compared.</w:t>
      </w:r>
    </w:p>
    <w:p w14:paraId="566F624D" w14:textId="77777777" w:rsidR="001128FE" w:rsidRDefault="001128FE">
      <w:pPr>
        <w:pBdr>
          <w:top w:val="nil"/>
          <w:left w:val="nil"/>
          <w:bottom w:val="nil"/>
          <w:right w:val="nil"/>
          <w:between w:val="nil"/>
        </w:pBdr>
        <w:spacing w:before="2"/>
        <w:rPr>
          <w:color w:val="000000"/>
          <w:sz w:val="23"/>
          <w:szCs w:val="23"/>
        </w:rPr>
      </w:pPr>
    </w:p>
    <w:p w14:paraId="0A1B054F" w14:textId="77777777" w:rsidR="001128FE" w:rsidRDefault="00000000">
      <w:pPr>
        <w:ind w:left="117"/>
        <w:rPr>
          <w:b/>
        </w:rPr>
      </w:pPr>
      <w:r>
        <w:rPr>
          <w:b/>
        </w:rPr>
        <w:t>Results:</w:t>
      </w:r>
    </w:p>
    <w:p w14:paraId="49A7594D" w14:textId="77777777" w:rsidR="001128FE" w:rsidRDefault="00000000">
      <w:pPr>
        <w:spacing w:before="14" w:line="249" w:lineRule="auto"/>
        <w:ind w:left="117" w:right="124"/>
        <w:rPr>
          <w:sz w:val="24"/>
          <w:szCs w:val="24"/>
        </w:rPr>
        <w:sectPr w:rsidR="001128FE" w:rsidSect="007A544F">
          <w:pgSz w:w="12240" w:h="15840"/>
          <w:pgMar w:top="1660" w:right="1340" w:bottom="900" w:left="1320" w:header="402" w:footer="702" w:gutter="0"/>
          <w:cols w:space="720"/>
        </w:sectPr>
      </w:pPr>
      <w:r>
        <w:rPr>
          <w:sz w:val="24"/>
          <w:szCs w:val="24"/>
        </w:rPr>
        <w:t xml:space="preserve">Of the </w:t>
      </w:r>
      <w:proofErr w:type="gramStart"/>
      <w:r>
        <w:rPr>
          <w:sz w:val="24"/>
          <w:szCs w:val="24"/>
        </w:rPr>
        <w:t>38,891 patient</w:t>
      </w:r>
      <w:proofErr w:type="gramEnd"/>
      <w:r>
        <w:rPr>
          <w:sz w:val="24"/>
          <w:szCs w:val="24"/>
        </w:rPr>
        <w:t xml:space="preserve"> sample size, 20,192 patients had undergone a TSA while 18,699 patients had undergone a RTSA. When comparing TSA to RTSA only the presence of CHF affected the percent mortality with </w:t>
      </w:r>
      <w:r>
        <w:rPr>
          <w:rFonts w:ascii="Carlito" w:eastAsia="Carlito" w:hAnsi="Carlito" w:cs="Carlito"/>
          <w:i/>
          <w:sz w:val="24"/>
          <w:szCs w:val="24"/>
        </w:rPr>
        <w:t xml:space="preserve">p </w:t>
      </w:r>
      <w:r>
        <w:rPr>
          <w:sz w:val="24"/>
          <w:szCs w:val="24"/>
        </w:rPr>
        <w:t xml:space="preserve">values of </w:t>
      </w:r>
      <w:r>
        <w:rPr>
          <w:rFonts w:ascii="Carlito" w:eastAsia="Carlito" w:hAnsi="Carlito" w:cs="Carlito"/>
          <w:i/>
          <w:sz w:val="24"/>
          <w:szCs w:val="24"/>
        </w:rPr>
        <w:t xml:space="preserve">0.024 </w:t>
      </w:r>
      <w:r>
        <w:rPr>
          <w:sz w:val="24"/>
          <w:szCs w:val="24"/>
        </w:rPr>
        <w:t xml:space="preserve">and </w:t>
      </w:r>
      <w:r>
        <w:rPr>
          <w:rFonts w:ascii="Carlito" w:eastAsia="Carlito" w:hAnsi="Carlito" w:cs="Carlito"/>
          <w:i/>
          <w:sz w:val="24"/>
          <w:szCs w:val="24"/>
        </w:rPr>
        <w:t>0.014</w:t>
      </w:r>
      <w:r>
        <w:rPr>
          <w:sz w:val="24"/>
          <w:szCs w:val="24"/>
        </w:rPr>
        <w:t xml:space="preserve">, respectively. For LOS, total charges, and age at admission, 5 (CHF, HTNx, DM, COAG, and anemia) of the 11 comorbidities examined showed statistically significant results in all 3 </w:t>
      </w:r>
      <w:r>
        <w:rPr>
          <w:sz w:val="24"/>
          <w:szCs w:val="24"/>
        </w:rPr>
        <w:lastRenderedPageBreak/>
        <w:t>categories. Total charges showed the greatest differences with COAG (23,797.33), CHF ($18,975.09), and anemia ($15,023.88) patients. LOS showed the</w:t>
      </w:r>
    </w:p>
    <w:p w14:paraId="3419C241" w14:textId="77777777" w:rsidR="001128FE" w:rsidRDefault="001128FE">
      <w:pPr>
        <w:pBdr>
          <w:top w:val="nil"/>
          <w:left w:val="nil"/>
          <w:bottom w:val="nil"/>
          <w:right w:val="nil"/>
          <w:between w:val="nil"/>
        </w:pBdr>
        <w:rPr>
          <w:color w:val="000000"/>
          <w:sz w:val="28"/>
          <w:szCs w:val="28"/>
        </w:rPr>
      </w:pPr>
    </w:p>
    <w:p w14:paraId="5B3E04F0" w14:textId="77777777" w:rsidR="001128FE" w:rsidRDefault="00000000">
      <w:pPr>
        <w:spacing w:before="103" w:line="252" w:lineRule="auto"/>
        <w:ind w:left="117" w:right="399"/>
        <w:rPr>
          <w:sz w:val="24"/>
          <w:szCs w:val="24"/>
        </w:rPr>
      </w:pPr>
      <w:r>
        <w:rPr>
          <w:sz w:val="24"/>
          <w:szCs w:val="24"/>
        </w:rPr>
        <w:t>greatest significant differences with HTNx (2.02 days), COAG (1.45 days), and CHF (1.13 days) patients. Age at admission averaged a difference between RTSA and TSA of 4.72 years.</w:t>
      </w:r>
    </w:p>
    <w:p w14:paraId="75505668" w14:textId="77777777" w:rsidR="001128FE" w:rsidRDefault="001128FE">
      <w:pPr>
        <w:pBdr>
          <w:top w:val="nil"/>
          <w:left w:val="nil"/>
          <w:bottom w:val="nil"/>
          <w:right w:val="nil"/>
          <w:between w:val="nil"/>
        </w:pBdr>
        <w:spacing w:before="2"/>
        <w:rPr>
          <w:color w:val="000000"/>
          <w:sz w:val="23"/>
          <w:szCs w:val="23"/>
        </w:rPr>
      </w:pPr>
    </w:p>
    <w:p w14:paraId="260FD137" w14:textId="77777777" w:rsidR="001128FE" w:rsidRDefault="00000000">
      <w:pPr>
        <w:ind w:left="117"/>
        <w:rPr>
          <w:b/>
        </w:rPr>
      </w:pPr>
      <w:r>
        <w:rPr>
          <w:b/>
        </w:rPr>
        <w:t>Discussion:</w:t>
      </w:r>
    </w:p>
    <w:p w14:paraId="47D9E127" w14:textId="77777777" w:rsidR="001128FE" w:rsidRDefault="00000000">
      <w:pPr>
        <w:spacing w:before="14" w:line="252" w:lineRule="auto"/>
        <w:ind w:left="117" w:right="102"/>
        <w:rPr>
          <w:sz w:val="24"/>
          <w:szCs w:val="24"/>
        </w:rPr>
      </w:pPr>
      <w:r>
        <w:rPr>
          <w:sz w:val="24"/>
          <w:szCs w:val="24"/>
        </w:rPr>
        <w:t>There has been a recent trend towards value-based health care with a focus on outcomes. However, there are baseline differences in patient characteristics that need to be accounted for. This is highlighted by the data retrospectively collected from the NIS database. CHF, HTNx, DM, COAG, and anemia were associated with significant increases in LOS, total charges, and age at admission. The overall mortality rate after TSA and RTSA was also significantly higher in patients with CHF. These factors may need to be considered when evaluating quality-based payment methods.</w:t>
      </w:r>
    </w:p>
    <w:p w14:paraId="0C9F7B86" w14:textId="77777777" w:rsidR="001128FE" w:rsidRDefault="001128FE">
      <w:pPr>
        <w:pBdr>
          <w:top w:val="nil"/>
          <w:left w:val="nil"/>
          <w:bottom w:val="nil"/>
          <w:right w:val="nil"/>
          <w:between w:val="nil"/>
        </w:pBdr>
        <w:spacing w:before="2"/>
        <w:rPr>
          <w:color w:val="000000"/>
          <w:sz w:val="23"/>
          <w:szCs w:val="23"/>
        </w:rPr>
      </w:pPr>
    </w:p>
    <w:p w14:paraId="5D527BCD" w14:textId="77777777" w:rsidR="001128FE" w:rsidRDefault="00000000">
      <w:pPr>
        <w:spacing w:before="1"/>
        <w:ind w:left="117"/>
        <w:rPr>
          <w:b/>
        </w:rPr>
      </w:pPr>
      <w:r>
        <w:rPr>
          <w:b/>
        </w:rPr>
        <w:t>Images/Tables/Charts:</w:t>
      </w:r>
    </w:p>
    <w:p w14:paraId="4064432F" w14:textId="77777777" w:rsidR="001128FE" w:rsidRDefault="00000000">
      <w:pPr>
        <w:pBdr>
          <w:top w:val="nil"/>
          <w:left w:val="nil"/>
          <w:bottom w:val="nil"/>
          <w:right w:val="nil"/>
          <w:between w:val="nil"/>
        </w:pBdr>
        <w:rPr>
          <w:b/>
          <w:color w:val="000000"/>
        </w:rPr>
      </w:pPr>
      <w:r>
        <w:rPr>
          <w:noProof/>
        </w:rPr>
        <w:drawing>
          <wp:anchor distT="0" distB="0" distL="0" distR="0" simplePos="0" relativeHeight="251658240" behindDoc="0" locked="0" layoutInCell="1" hidden="0" allowOverlap="1" wp14:anchorId="3DF65E8A" wp14:editId="2F959CE4">
            <wp:simplePos x="0" y="0"/>
            <wp:positionH relativeFrom="column">
              <wp:posOffset>76380</wp:posOffset>
            </wp:positionH>
            <wp:positionV relativeFrom="paragraph">
              <wp:posOffset>187480</wp:posOffset>
            </wp:positionV>
            <wp:extent cx="5619353" cy="1904523"/>
            <wp:effectExtent l="0" t="0" r="0" b="0"/>
            <wp:wrapTopAndBottom distT="0" dist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9353" cy="1904523"/>
                    </a:xfrm>
                    <a:prstGeom prst="rect">
                      <a:avLst/>
                    </a:prstGeom>
                    <a:ln/>
                  </pic:spPr>
                </pic:pic>
              </a:graphicData>
            </a:graphic>
          </wp:anchor>
        </w:drawing>
      </w:r>
      <w:r>
        <w:rPr>
          <w:noProof/>
        </w:rPr>
        <w:drawing>
          <wp:anchor distT="0" distB="0" distL="0" distR="0" simplePos="0" relativeHeight="251659264" behindDoc="0" locked="0" layoutInCell="1" hidden="0" allowOverlap="1" wp14:anchorId="19B0989E" wp14:editId="26DBAB4F">
            <wp:simplePos x="0" y="0"/>
            <wp:positionH relativeFrom="column">
              <wp:posOffset>76380</wp:posOffset>
            </wp:positionH>
            <wp:positionV relativeFrom="paragraph">
              <wp:posOffset>2267461</wp:posOffset>
            </wp:positionV>
            <wp:extent cx="5694408" cy="1929098"/>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94408" cy="1929098"/>
                    </a:xfrm>
                    <a:prstGeom prst="rect">
                      <a:avLst/>
                    </a:prstGeom>
                    <a:ln/>
                  </pic:spPr>
                </pic:pic>
              </a:graphicData>
            </a:graphic>
          </wp:anchor>
        </w:drawing>
      </w:r>
    </w:p>
    <w:p w14:paraId="61724880" w14:textId="77777777" w:rsidR="001128FE" w:rsidRDefault="001128FE">
      <w:pPr>
        <w:pBdr>
          <w:top w:val="nil"/>
          <w:left w:val="nil"/>
          <w:bottom w:val="nil"/>
          <w:right w:val="nil"/>
          <w:between w:val="nil"/>
        </w:pBdr>
        <w:spacing w:before="10"/>
        <w:rPr>
          <w:b/>
          <w:color w:val="000000"/>
          <w:sz w:val="17"/>
          <w:szCs w:val="17"/>
        </w:rPr>
      </w:pPr>
    </w:p>
    <w:p w14:paraId="78543BF3" w14:textId="77777777" w:rsidR="001128FE" w:rsidRDefault="001128FE">
      <w:pPr>
        <w:pBdr>
          <w:top w:val="nil"/>
          <w:left w:val="nil"/>
          <w:bottom w:val="nil"/>
          <w:right w:val="nil"/>
          <w:between w:val="nil"/>
        </w:pBdr>
        <w:spacing w:before="1"/>
        <w:rPr>
          <w:b/>
          <w:color w:val="000000"/>
          <w:sz w:val="23"/>
          <w:szCs w:val="23"/>
        </w:rPr>
      </w:pPr>
    </w:p>
    <w:p w14:paraId="528CD73B" w14:textId="77777777" w:rsidR="001128FE" w:rsidRDefault="00000000">
      <w:pPr>
        <w:ind w:left="117"/>
        <w:rPr>
          <w:b/>
        </w:rPr>
      </w:pPr>
      <w:r>
        <w:rPr>
          <w:b/>
        </w:rPr>
        <w:t>References:</w:t>
      </w:r>
    </w:p>
    <w:p w14:paraId="0029D950" w14:textId="77777777" w:rsidR="001128FE" w:rsidRDefault="00000000">
      <w:pPr>
        <w:numPr>
          <w:ilvl w:val="1"/>
          <w:numId w:val="1"/>
        </w:numPr>
        <w:pBdr>
          <w:top w:val="nil"/>
          <w:left w:val="nil"/>
          <w:bottom w:val="nil"/>
          <w:right w:val="nil"/>
          <w:between w:val="nil"/>
        </w:pBdr>
        <w:tabs>
          <w:tab w:val="left" w:pos="837"/>
          <w:tab w:val="left" w:pos="838"/>
        </w:tabs>
        <w:spacing w:before="14" w:line="249" w:lineRule="auto"/>
        <w:ind w:right="111"/>
        <w:rPr>
          <w:color w:val="000000"/>
          <w:sz w:val="20"/>
          <w:szCs w:val="20"/>
        </w:rPr>
        <w:sectPr w:rsidR="001128FE" w:rsidSect="007A544F">
          <w:pgSz w:w="12240" w:h="15840"/>
          <w:pgMar w:top="1660" w:right="1340" w:bottom="900" w:left="1320" w:header="402" w:footer="702" w:gutter="0"/>
          <w:cols w:space="720"/>
        </w:sectPr>
      </w:pPr>
      <w:r>
        <w:rPr>
          <w:color w:val="000000"/>
          <w:sz w:val="24"/>
          <w:szCs w:val="24"/>
        </w:rPr>
        <w:t xml:space="preserve">Kim S.H., Wise B.L., Zhang Y., Szabo R.M. Increasing incidence of shoulder arthroplasty in the United States. </w:t>
      </w:r>
      <w:r>
        <w:rPr>
          <w:rFonts w:ascii="Carlito" w:eastAsia="Carlito" w:hAnsi="Carlito" w:cs="Carlito"/>
          <w:i/>
          <w:color w:val="000000"/>
          <w:sz w:val="24"/>
          <w:szCs w:val="24"/>
        </w:rPr>
        <w:t xml:space="preserve">J Bone Joint Surg Am. </w:t>
      </w:r>
      <w:r>
        <w:rPr>
          <w:color w:val="000000"/>
          <w:sz w:val="24"/>
          <w:szCs w:val="24"/>
        </w:rPr>
        <w:t>2011; 93:2249–2254.</w:t>
      </w:r>
      <w:r>
        <w:rPr>
          <w:noProof/>
        </w:rPr>
        <mc:AlternateContent>
          <mc:Choice Requires="wpg">
            <w:drawing>
              <wp:anchor distT="0" distB="0" distL="114300" distR="114300" simplePos="0" relativeHeight="251660288" behindDoc="1" locked="0" layoutInCell="1" hidden="0" allowOverlap="1" wp14:anchorId="5447BB3B" wp14:editId="5EE6B5DA">
                <wp:simplePos x="0" y="0"/>
                <wp:positionH relativeFrom="column">
                  <wp:posOffset>635000</wp:posOffset>
                </wp:positionH>
                <wp:positionV relativeFrom="paragraph">
                  <wp:posOffset>0</wp:posOffset>
                </wp:positionV>
                <wp:extent cx="5487035" cy="381635"/>
                <wp:effectExtent l="0" t="0" r="0" b="0"/>
                <wp:wrapNone/>
                <wp:docPr id="7" name="Freeform 7"/>
                <wp:cNvGraphicFramePr/>
                <a:graphic xmlns:a="http://schemas.openxmlformats.org/drawingml/2006/main">
                  <a:graphicData uri="http://schemas.microsoft.com/office/word/2010/wordprocessingShape">
                    <wps:wsp>
                      <wps:cNvSpPr/>
                      <wps:spPr>
                        <a:xfrm>
                          <a:off x="3445445" y="3593945"/>
                          <a:ext cx="5477510" cy="372110"/>
                        </a:xfrm>
                        <a:custGeom>
                          <a:avLst/>
                          <a:gdLst/>
                          <a:ahLst/>
                          <a:cxnLst/>
                          <a:rect l="l" t="t" r="r" b="b"/>
                          <a:pathLst>
                            <a:path w="5477510" h="372110" extrusionOk="0">
                              <a:moveTo>
                                <a:pt x="5476875" y="0"/>
                              </a:moveTo>
                              <a:lnTo>
                                <a:pt x="0" y="0"/>
                              </a:lnTo>
                              <a:lnTo>
                                <a:pt x="0" y="186055"/>
                              </a:lnTo>
                              <a:lnTo>
                                <a:pt x="0" y="372110"/>
                              </a:lnTo>
                              <a:lnTo>
                                <a:pt x="3843655" y="372110"/>
                              </a:lnTo>
                              <a:lnTo>
                                <a:pt x="3843655" y="186055"/>
                              </a:lnTo>
                              <a:lnTo>
                                <a:pt x="5476875" y="186055"/>
                              </a:lnTo>
                              <a:lnTo>
                                <a:pt x="5476875"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635000</wp:posOffset>
                </wp:positionH>
                <wp:positionV relativeFrom="paragraph">
                  <wp:posOffset>0</wp:posOffset>
                </wp:positionV>
                <wp:extent cx="5487035" cy="381635"/>
                <wp:effectExtent b="0" l="0" r="0" t="0"/>
                <wp:wrapNone/>
                <wp:docPr id="7"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487035" cy="381635"/>
                        </a:xfrm>
                        <a:prstGeom prst="rect"/>
                        <a:ln/>
                      </pic:spPr>
                    </pic:pic>
                  </a:graphicData>
                </a:graphic>
              </wp:anchor>
            </w:drawing>
          </mc:Fallback>
        </mc:AlternateContent>
      </w:r>
    </w:p>
    <w:p w14:paraId="60829499" w14:textId="77777777" w:rsidR="001128FE" w:rsidRDefault="001128FE">
      <w:pPr>
        <w:pBdr>
          <w:top w:val="nil"/>
          <w:left w:val="nil"/>
          <w:bottom w:val="nil"/>
          <w:right w:val="nil"/>
          <w:between w:val="nil"/>
        </w:pBdr>
        <w:rPr>
          <w:color w:val="000000"/>
          <w:sz w:val="28"/>
          <w:szCs w:val="28"/>
        </w:rPr>
      </w:pPr>
    </w:p>
    <w:p w14:paraId="0C8B96D1" w14:textId="77777777" w:rsidR="001128FE" w:rsidRDefault="00000000">
      <w:pPr>
        <w:numPr>
          <w:ilvl w:val="1"/>
          <w:numId w:val="1"/>
        </w:numPr>
        <w:pBdr>
          <w:top w:val="nil"/>
          <w:left w:val="nil"/>
          <w:bottom w:val="nil"/>
          <w:right w:val="nil"/>
          <w:between w:val="nil"/>
        </w:pBdr>
        <w:tabs>
          <w:tab w:val="left" w:pos="838"/>
        </w:tabs>
        <w:spacing w:before="103" w:line="244" w:lineRule="auto"/>
        <w:ind w:right="669"/>
        <w:rPr>
          <w:color w:val="000000"/>
          <w:sz w:val="24"/>
          <w:szCs w:val="24"/>
        </w:rPr>
      </w:pPr>
      <w:r>
        <w:rPr>
          <w:color w:val="000000"/>
          <w:sz w:val="24"/>
          <w:szCs w:val="24"/>
        </w:rPr>
        <w:t xml:space="preserve">Schairer, W. W., Nwachukwu, B. U., Lyman, S., Craig, E. V., &amp; Gulotta, L. V. National utilization of reverse total shoulder arthroplasty in the United States. </w:t>
      </w:r>
      <w:r>
        <w:rPr>
          <w:rFonts w:ascii="Carlito" w:eastAsia="Carlito" w:hAnsi="Carlito" w:cs="Carlito"/>
          <w:i/>
          <w:color w:val="000000"/>
          <w:sz w:val="24"/>
          <w:szCs w:val="24"/>
        </w:rPr>
        <w:t>Journal of Shoulder and Elbow Surgery</w:t>
      </w:r>
      <w:r>
        <w:rPr>
          <w:color w:val="000000"/>
          <w:sz w:val="24"/>
          <w:szCs w:val="24"/>
        </w:rPr>
        <w:t>. 2015; 24(1), 91-97.</w:t>
      </w:r>
    </w:p>
    <w:p w14:paraId="62257AA2" w14:textId="77777777" w:rsidR="001128FE" w:rsidRDefault="00000000">
      <w:pPr>
        <w:numPr>
          <w:ilvl w:val="1"/>
          <w:numId w:val="1"/>
        </w:numPr>
        <w:pBdr>
          <w:top w:val="nil"/>
          <w:left w:val="nil"/>
          <w:bottom w:val="nil"/>
          <w:right w:val="nil"/>
          <w:between w:val="nil"/>
        </w:pBdr>
        <w:tabs>
          <w:tab w:val="left" w:pos="838"/>
        </w:tabs>
        <w:spacing w:line="252" w:lineRule="auto"/>
        <w:ind w:right="182"/>
        <w:rPr>
          <w:color w:val="000000"/>
          <w:sz w:val="24"/>
          <w:szCs w:val="24"/>
        </w:rPr>
      </w:pPr>
      <w:r>
        <w:rPr>
          <w:color w:val="000000"/>
          <w:sz w:val="24"/>
          <w:szCs w:val="24"/>
        </w:rPr>
        <w:t xml:space="preserve">Rosas, S., Sabeh, K. G., Buller, L. T., Law, T. Y., </w:t>
      </w:r>
      <w:proofErr w:type="spellStart"/>
      <w:r>
        <w:rPr>
          <w:color w:val="000000"/>
          <w:sz w:val="24"/>
          <w:szCs w:val="24"/>
        </w:rPr>
        <w:t>Kalandiak</w:t>
      </w:r>
      <w:proofErr w:type="spellEnd"/>
      <w:r>
        <w:rPr>
          <w:color w:val="000000"/>
          <w:sz w:val="24"/>
          <w:szCs w:val="24"/>
        </w:rPr>
        <w:t xml:space="preserve">, S. P., &amp; Levy, J. </w:t>
      </w:r>
      <w:proofErr w:type="gramStart"/>
      <w:r>
        <w:rPr>
          <w:color w:val="000000"/>
          <w:sz w:val="24"/>
          <w:szCs w:val="24"/>
        </w:rPr>
        <w:t>C. .</w:t>
      </w:r>
      <w:proofErr w:type="gramEnd"/>
      <w:r>
        <w:rPr>
          <w:color w:val="000000"/>
          <w:sz w:val="24"/>
          <w:szCs w:val="24"/>
        </w:rPr>
        <w:t xml:space="preserve"> Comorbidity effects on shoulder arthroplasty costs analysis of a nationwide private payer insurance data set. </w:t>
      </w:r>
      <w:r>
        <w:rPr>
          <w:rFonts w:ascii="Carlito" w:eastAsia="Carlito" w:hAnsi="Carlito" w:cs="Carlito"/>
          <w:i/>
          <w:color w:val="000000"/>
          <w:sz w:val="24"/>
          <w:szCs w:val="24"/>
        </w:rPr>
        <w:t>Journal of Shoulder and Elbow Surgery</w:t>
      </w:r>
      <w:r>
        <w:rPr>
          <w:color w:val="000000"/>
          <w:sz w:val="24"/>
          <w:szCs w:val="24"/>
        </w:rPr>
        <w:t>. 2017; 26(7)</w:t>
      </w:r>
    </w:p>
    <w:p w14:paraId="52DE8738" w14:textId="77777777" w:rsidR="001128FE" w:rsidRDefault="00000000">
      <w:pPr>
        <w:numPr>
          <w:ilvl w:val="1"/>
          <w:numId w:val="1"/>
        </w:numPr>
        <w:pBdr>
          <w:top w:val="nil"/>
          <w:left w:val="nil"/>
          <w:bottom w:val="nil"/>
          <w:right w:val="nil"/>
          <w:between w:val="nil"/>
        </w:pBdr>
        <w:tabs>
          <w:tab w:val="left" w:pos="838"/>
        </w:tabs>
        <w:spacing w:line="252" w:lineRule="auto"/>
        <w:ind w:right="216"/>
        <w:rPr>
          <w:color w:val="000000"/>
          <w:sz w:val="24"/>
          <w:szCs w:val="24"/>
        </w:rPr>
      </w:pPr>
      <w:r>
        <w:rPr>
          <w:color w:val="000000"/>
          <w:sz w:val="24"/>
          <w:szCs w:val="24"/>
        </w:rPr>
        <w:t xml:space="preserve">Esteras-Serrano, M. J., Ruiz-Hernández, I. M., </w:t>
      </w:r>
      <w:proofErr w:type="spellStart"/>
      <w:r>
        <w:rPr>
          <w:color w:val="000000"/>
          <w:sz w:val="24"/>
          <w:szCs w:val="24"/>
        </w:rPr>
        <w:t>Gimferrer</w:t>
      </w:r>
      <w:proofErr w:type="spellEnd"/>
      <w:r>
        <w:rPr>
          <w:color w:val="000000"/>
          <w:sz w:val="24"/>
          <w:szCs w:val="24"/>
        </w:rPr>
        <w:t xml:space="preserve">-Arriaga, J. O., Sánchez-Jimenez, M., Far-Riera, A., &amp; </w:t>
      </w:r>
      <w:proofErr w:type="spellStart"/>
      <w:r>
        <w:rPr>
          <w:color w:val="000000"/>
          <w:sz w:val="24"/>
          <w:szCs w:val="24"/>
        </w:rPr>
        <w:t>Rapariz</w:t>
      </w:r>
      <w:proofErr w:type="spellEnd"/>
      <w:r>
        <w:rPr>
          <w:color w:val="000000"/>
          <w:sz w:val="24"/>
          <w:szCs w:val="24"/>
        </w:rPr>
        <w:t xml:space="preserve">, J. Shoulder arthroplasty. Comorbidity as prognostic factor. </w:t>
      </w:r>
      <w:r>
        <w:rPr>
          <w:rFonts w:ascii="Carlito" w:eastAsia="Carlito" w:hAnsi="Carlito" w:cs="Carlito"/>
          <w:i/>
          <w:color w:val="000000"/>
          <w:sz w:val="24"/>
          <w:szCs w:val="24"/>
        </w:rPr>
        <w:t xml:space="preserve">Journal of </w:t>
      </w:r>
      <w:proofErr w:type="spellStart"/>
      <w:r>
        <w:rPr>
          <w:rFonts w:ascii="Carlito" w:eastAsia="Carlito" w:hAnsi="Carlito" w:cs="Carlito"/>
          <w:i/>
          <w:color w:val="000000"/>
          <w:sz w:val="24"/>
          <w:szCs w:val="24"/>
        </w:rPr>
        <w:t>Orthopaedics</w:t>
      </w:r>
      <w:proofErr w:type="spellEnd"/>
      <w:r>
        <w:rPr>
          <w:color w:val="000000"/>
          <w:sz w:val="24"/>
          <w:szCs w:val="24"/>
        </w:rPr>
        <w:t>. 2018; 15(3), 889-893.</w:t>
      </w:r>
    </w:p>
    <w:sectPr w:rsidR="001128FE">
      <w:pgSz w:w="12240" w:h="15840"/>
      <w:pgMar w:top="1660" w:right="1340" w:bottom="900" w:left="1320" w:header="402"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B30B" w14:textId="77777777" w:rsidR="005535BC" w:rsidRDefault="005535BC">
      <w:r>
        <w:separator/>
      </w:r>
    </w:p>
  </w:endnote>
  <w:endnote w:type="continuationSeparator" w:id="0">
    <w:p w14:paraId="0606D3A2" w14:textId="77777777" w:rsidR="005535BC" w:rsidRDefault="0055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6D7F" w14:textId="77777777" w:rsidR="001128FE" w:rsidRDefault="00000000">
    <w:pPr>
      <w:pBdr>
        <w:top w:val="nil"/>
        <w:left w:val="nil"/>
        <w:bottom w:val="nil"/>
        <w:right w:val="nil"/>
        <w:between w:val="nil"/>
      </w:pBdr>
      <w:spacing w:line="14" w:lineRule="auto"/>
      <w:jc w:val="right"/>
      <w:rPr>
        <w:color w:val="000000"/>
        <w:sz w:val="20"/>
        <w:szCs w:val="20"/>
      </w:rPr>
    </w:pPr>
    <w:r>
      <w:rPr>
        <w:noProof/>
      </w:rPr>
      <mc:AlternateContent>
        <mc:Choice Requires="wps">
          <w:drawing>
            <wp:anchor distT="0" distB="0" distL="114300" distR="114300" simplePos="0" relativeHeight="251660288" behindDoc="1" locked="0" layoutInCell="1" hidden="0" allowOverlap="1" wp14:anchorId="155FB4DB" wp14:editId="13A9FED8">
              <wp:simplePos x="0" y="0"/>
              <wp:positionH relativeFrom="column">
                <wp:posOffset>5346700</wp:posOffset>
              </wp:positionH>
              <wp:positionV relativeFrom="paragraph">
                <wp:posOffset>9461500</wp:posOffset>
              </wp:positionV>
              <wp:extent cx="791845" cy="158115"/>
              <wp:effectExtent l="0" t="0" r="0" b="0"/>
              <wp:wrapNone/>
              <wp:docPr id="6" name="Freeform 6"/>
              <wp:cNvGraphicFramePr/>
              <a:graphic xmlns:a="http://schemas.openxmlformats.org/drawingml/2006/main">
                <a:graphicData uri="http://schemas.microsoft.com/office/word/2010/wordprocessingShape">
                  <wps:wsp>
                    <wps:cNvSpPr/>
                    <wps:spPr>
                      <a:xfrm>
                        <a:off x="5793040" y="3705705"/>
                        <a:ext cx="782320" cy="148590"/>
                      </a:xfrm>
                      <a:custGeom>
                        <a:avLst/>
                        <a:gdLst/>
                        <a:ahLst/>
                        <a:cxnLst/>
                        <a:rect l="l" t="t" r="r" b="b"/>
                        <a:pathLst>
                          <a:path w="782320" h="148590" extrusionOk="0">
                            <a:moveTo>
                              <a:pt x="0" y="0"/>
                            </a:moveTo>
                            <a:lnTo>
                              <a:pt x="0" y="148590"/>
                            </a:lnTo>
                            <a:lnTo>
                              <a:pt x="782320" y="148590"/>
                            </a:lnTo>
                            <a:lnTo>
                              <a:pt x="782320" y="0"/>
                            </a:lnTo>
                            <a:close/>
                          </a:path>
                        </a:pathLst>
                      </a:custGeom>
                      <a:solidFill>
                        <a:srgbClr val="FFFFFF"/>
                      </a:solidFill>
                      <a:ln>
                        <a:noFill/>
                      </a:ln>
                    </wps:spPr>
                    <wps:txbx>
                      <w:txbxContent>
                        <w:p w14:paraId="02BBB433" w14:textId="77777777" w:rsidR="001128FE" w:rsidRDefault="00000000">
                          <w:pPr>
                            <w:spacing w:before="20"/>
                            <w:ind w:left="20" w:firstLine="20"/>
                            <w:textDirection w:val="btLr"/>
                          </w:pPr>
                          <w:r>
                            <w:rPr>
                              <w:color w:val="000000"/>
                              <w:sz w:val="16"/>
                            </w:rPr>
                            <w:t xml:space="preserve">updated </w:t>
                          </w:r>
                          <w:proofErr w:type="gramStart"/>
                          <w:r>
                            <w:rPr>
                              <w:color w:val="000000"/>
                              <w:sz w:val="16"/>
                            </w:rPr>
                            <w:t>06/01/20</w:t>
                          </w:r>
                          <w:proofErr w:type="gramEnd"/>
                        </w:p>
                      </w:txbxContent>
                    </wps:txbx>
                    <wps:bodyPr spcFirstLastPara="1" wrap="square" lIns="88900" tIns="38100" rIns="88900" bIns="38100" anchor="t" anchorCtr="0">
                      <a:noAutofit/>
                    </wps:bodyPr>
                  </wps:wsp>
                </a:graphicData>
              </a:graphic>
            </wp:anchor>
          </w:drawing>
        </mc:Choice>
        <mc:Fallback>
          <w:pict>
            <v:shape w14:anchorId="155FB4DB" id="Freeform 6" o:spid="_x0000_s1027" style="position:absolute;left:0;text-align:left;margin-left:421pt;margin-top:745pt;width:62.35pt;height:12.4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782320,148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npNQIAAL0EAAAOAAAAZHJzL2Uyb0RvYy54bWysVFFv2jAQfp+0/2D5fSRAGQERqqkV06Rq&#10;RWr3AxzHIVYd27MNCf9+dw4BWt6mIhTf+c6X7/vOl9V91yhyEM5Lo3M6HqWUCM1NKfUup39eN98y&#10;SnxgumTKaJHTo/D0fv31y6q1SzExtVGlcASKaL9sbU7rEOwySTyvRcP8yFihIVgZ17AArtslpWMt&#10;VG9UMknT70lrXGmd4cJ72H3sg3Qd61eV4OG5qrwIROUUsIX4dPFZ4DNZr9hy55itJT/BYP+BomFS&#10;w0vPpR5ZYGTv5E2pRnJnvKnCiJsmMVUluYgcgM04/cDmpWZWRC4gjrdnmfznleW/Dy9260CG1vql&#10;BxNZdJVrcAV8pMvpbL6Ypncg3zGn03k6g38vnOgC4ZAwzybTCcQ5JIzvstkiCptcCvG9Dz+FiUXZ&#10;4cmHXvdysFg9WLzTg+mge9g3FfsWKIG+OUqgb0X/essCnkOkaJL2gqQ+AyEA0u3xfj6/YccxuzEH&#10;8WriuYAEe2oD6EtU6dusd/yGhGG1sdwgx0c1hqxhvckeEAwJXBkvQCpQEgmejUgaNq9l9UbJciOV&#10;Qlre7YoH5ciBgX6b+EPJ4Mi7NKUxWRs81odxJ7lcBbRCV3REliAolsCdwpTHrSPe8o10PjwxH7bM&#10;wdyMKWlhlnLq/+6ZE5SoXxoua5YtUhy+6EyzMTruOlJcR5jmtYFWQ8N78yGA1zdOmx/7YCqJ9yfC&#10;7KGcHJiRyPE0zziE137Munx11v8AAAD//wMAUEsDBBQABgAIAAAAIQAOj23N5QAAABIBAAAPAAAA&#10;ZHJzL2Rvd25yZXYueG1sTE9NT8MwDL0j8R8iI3Fj6Ubptq7pND522GUqGxduWWPSiiYpSbqVf485&#10;wcWy37Of3yvWo+nYGX1onRUwnSTA0NZOtVYLeDtu7xbAQpRWyc5ZFPCNAdbl9VUhc+Uu9hXPh6gZ&#10;idiQSwFNjH3OeagbNDJMXI+WuA/njYw0es2VlxcSNx2fJUnGjWwtfWhkj08N1p+HwQjY+nfcP96n&#10;Q9VPdy+bva6+NFZC3N6MzysqmxWwiGP8u4DfDOQfSjJ2coNVgXUCFumMAkUi0mVCHa0ss2wO7ETQ&#10;A4HAy4L/j1L+AAAA//8DAFBLAQItABQABgAIAAAAIQC2gziS/gAAAOEBAAATAAAAAAAAAAAAAAAA&#10;AAAAAABbQ29udGVudF9UeXBlc10ueG1sUEsBAi0AFAAGAAgAAAAhADj9If/WAAAAlAEAAAsAAAAA&#10;AAAAAAAAAAAALwEAAF9yZWxzLy5yZWxzUEsBAi0AFAAGAAgAAAAhABGFSek1AgAAvQQAAA4AAAAA&#10;AAAAAAAAAAAALgIAAGRycy9lMm9Eb2MueG1sUEsBAi0AFAAGAAgAAAAhAA6Pbc3lAAAAEgEAAA8A&#10;AAAAAAAAAAAAAAAAjwQAAGRycy9kb3ducmV2LnhtbFBLBQYAAAAABAAEAPMAAAChBQAAAAA=&#10;" adj="-11796480,,5400" path="m,l,148590r782320,l782320,,,xe" stroked="f">
              <v:stroke joinstyle="miter"/>
              <v:formulas/>
              <v:path arrowok="t" o:extrusionok="f" o:connecttype="custom" textboxrect="0,0,782320,148590"/>
              <v:textbox inset="7pt,3pt,7pt,3pt">
                <w:txbxContent>
                  <w:p w14:paraId="02BBB433" w14:textId="77777777" w:rsidR="001128FE" w:rsidRDefault="00000000">
                    <w:pPr>
                      <w:spacing w:before="20"/>
                      <w:ind w:left="20" w:firstLine="20"/>
                      <w:textDirection w:val="btLr"/>
                    </w:pPr>
                    <w:r>
                      <w:rPr>
                        <w:color w:val="000000"/>
                        <w:sz w:val="16"/>
                      </w:rPr>
                      <w:t xml:space="preserve">updated </w:t>
                    </w:r>
                    <w:proofErr w:type="gramStart"/>
                    <w:r>
                      <w:rPr>
                        <w:color w:val="000000"/>
                        <w:sz w:val="16"/>
                      </w:rPr>
                      <w:t>06/01/20</w:t>
                    </w:r>
                    <w:proofErr w:type="gramEnd"/>
                  </w:p>
                </w:txbxContent>
              </v:textbox>
            </v:shape>
          </w:pict>
        </mc:Fallback>
      </mc:AlternateContent>
    </w:r>
    <w:r>
      <w:rPr>
        <w:noProof/>
      </w:rPr>
      <mc:AlternateContent>
        <mc:Choice Requires="wps">
          <w:drawing>
            <wp:anchor distT="0" distB="0" distL="114300" distR="114300" simplePos="0" relativeHeight="251661312" behindDoc="1" locked="0" layoutInCell="1" hidden="0" allowOverlap="1" wp14:anchorId="7BA255CE" wp14:editId="1DC2C446">
              <wp:simplePos x="0" y="0"/>
              <wp:positionH relativeFrom="column">
                <wp:posOffset>165100</wp:posOffset>
              </wp:positionH>
              <wp:positionV relativeFrom="paragraph">
                <wp:posOffset>9461500</wp:posOffset>
              </wp:positionV>
              <wp:extent cx="2204720" cy="158115"/>
              <wp:effectExtent l="0" t="0" r="0" b="0"/>
              <wp:wrapNone/>
              <wp:docPr id="9" name="Freeform 9"/>
              <wp:cNvGraphicFramePr/>
              <a:graphic xmlns:a="http://schemas.openxmlformats.org/drawingml/2006/main">
                <a:graphicData uri="http://schemas.microsoft.com/office/word/2010/wordprocessingShape">
                  <wps:wsp>
                    <wps:cNvSpPr/>
                    <wps:spPr>
                      <a:xfrm>
                        <a:off x="5086603" y="3705705"/>
                        <a:ext cx="2195195" cy="148590"/>
                      </a:xfrm>
                      <a:custGeom>
                        <a:avLst/>
                        <a:gdLst/>
                        <a:ahLst/>
                        <a:cxnLst/>
                        <a:rect l="l" t="t" r="r" b="b"/>
                        <a:pathLst>
                          <a:path w="2195195" h="148590" extrusionOk="0">
                            <a:moveTo>
                              <a:pt x="0" y="0"/>
                            </a:moveTo>
                            <a:lnTo>
                              <a:pt x="0" y="148590"/>
                            </a:lnTo>
                            <a:lnTo>
                              <a:pt x="2195195" y="148590"/>
                            </a:lnTo>
                            <a:lnTo>
                              <a:pt x="2195195" y="0"/>
                            </a:lnTo>
                            <a:close/>
                          </a:path>
                        </a:pathLst>
                      </a:custGeom>
                      <a:solidFill>
                        <a:srgbClr val="FFFFFF"/>
                      </a:solidFill>
                      <a:ln>
                        <a:noFill/>
                      </a:ln>
                    </wps:spPr>
                    <wps:txbx>
                      <w:txbxContent>
                        <w:p w14:paraId="7E5D4629" w14:textId="77777777" w:rsidR="001128FE" w:rsidRDefault="00000000">
                          <w:pPr>
                            <w:spacing w:before="20"/>
                            <w:ind w:left="20" w:firstLine="20"/>
                            <w:textDirection w:val="btLr"/>
                          </w:pPr>
                          <w:r>
                            <w:rPr>
                              <w:color w:val="000000"/>
                              <w:sz w:val="16"/>
                            </w:rPr>
                            <w:t>SAOAO Abstract Presentation Submission Guidelines</w:t>
                          </w:r>
                        </w:p>
                      </w:txbxContent>
                    </wps:txbx>
                    <wps:bodyPr spcFirstLastPara="1" wrap="square" lIns="88900" tIns="38100" rIns="88900" bIns="38100" anchor="t" anchorCtr="0">
                      <a:noAutofit/>
                    </wps:bodyPr>
                  </wps:wsp>
                </a:graphicData>
              </a:graphic>
            </wp:anchor>
          </w:drawing>
        </mc:Choice>
        <mc:Fallback>
          <w:pict>
            <v:shape w14:anchorId="7BA255CE" id="Freeform 9" o:spid="_x0000_s1028" style="position:absolute;left:0;text-align:left;margin-left:13pt;margin-top:745pt;width:173.6pt;height:12.4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95195,148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N/OAIAAMEEAAAOAAAAZHJzL2Uyb0RvYy54bWysVFFv2jAQfp+0/2D5fSSBwVJEqKZWTJOq&#10;FantD3Ach1hzbM82JPz73TkEaHmbhqL4zne+fN93Plb3favIQTgvjS5oNkkpEZqbSupdQd9eN19y&#10;SnxgumLKaFHQo/D0fv3506qzSzE1jVGVcASKaL/sbEGbEOwySTxvRMv8xFihIVgb17IArtsllWMd&#10;VG9VMk3TRdIZV1lnuPAedh+HIF3H+nUteHiuay8CUQUFbCG+XXyX+E7WK7bcOWYbyU8w2D+gaJnU&#10;8NFzqUcWGNk7eVOqldwZb+ow4aZNTF1LLiIHYJOlH9i8NMyKyAXE8fYsk/9/Zfmvw4vdOpChs37p&#10;wUQWfe1aXAEf6Qs6T/PFIp1Rcizo7Fs6h2cQTvSBcEiYZndzeCjhkJF9zed3UdnkUonvffghTKzK&#10;Dk8+DMJXo8Wa0eK9Hk0H7cPGqdi4QAk0zlECjSuH71sW8BxCRZN0V1CaMxICMN0eb+jzb+w5prfm&#10;IF5NPBiQItwNgD6ivkSVvs16R3BMGFcby50F+ajHmDaut+kjhjGDK+MFqAViIsezEXnD5rWy3ihZ&#10;baRSSMy7XfmgHDkwkHATf6gaHHmXpjQma4PHhjDuJJfrgFboy57ICuTFErhTmuq4dcRbvpHOhyfm&#10;w5Y5mJ2Mkg7mqaD+z545QYn6qeHC5vldigMYnVmeoeOuI+V1hGneGOg29HwwHwJ4Q+u0+b4PppZ4&#10;hSLMAcrJgTmJHE8zjYN47cesyz/P+i8AAAD//wMAUEsDBBQABgAIAAAAIQBVIQUD5AAAABEBAAAP&#10;AAAAZHJzL2Rvd25yZXYueG1sTE9LT8MwDL4j8R8iI3FjCd26Qdd04iFe4rTymLhlTWgrGqdKsrb8&#10;e8wJLpb92f4e+WayHRuMD61DCeczAcxg5XSLtYTXl7uzC2AhKtSqc2gkfJsAm+L4KFeZdiNuzVDG&#10;mhEJhkxJaGLsM85D1Rirwsz1Bmn36bxVkUZfc+3VSOS244kQS25Vi6TQqN7cNKb6Kg9Wgr8XY3r9&#10;vnh73D09T6V6SIed+JDy9GS6XVO5WgOLZop/H/CbgfxDQcb27oA6sE5CsqQ8kfDFpaCOLuareQJs&#10;T1BKIPAi5/+TFD8AAAD//wMAUEsBAi0AFAAGAAgAAAAhALaDOJL+AAAA4QEAABMAAAAAAAAAAAAA&#10;AAAAAAAAAFtDb250ZW50X1R5cGVzXS54bWxQSwECLQAUAAYACAAAACEAOP0h/9YAAACUAQAACwAA&#10;AAAAAAAAAAAAAAAvAQAAX3JlbHMvLnJlbHNQSwECLQAUAAYACAAAACEAw5tDfzgCAADBBAAADgAA&#10;AAAAAAAAAAAAAAAuAgAAZHJzL2Uyb0RvYy54bWxQSwECLQAUAAYACAAAACEAVSEFA+QAAAARAQAA&#10;DwAAAAAAAAAAAAAAAACSBAAAZHJzL2Rvd25yZXYueG1sUEsFBgAAAAAEAAQA8wAAAKMFAAAAAA==&#10;" adj="-11796480,,5400" path="m,l,148590r2195195,l2195195,,,xe" stroked="f">
              <v:stroke joinstyle="miter"/>
              <v:formulas/>
              <v:path arrowok="t" o:extrusionok="f" o:connecttype="custom" textboxrect="0,0,2195195,148590"/>
              <v:textbox inset="7pt,3pt,7pt,3pt">
                <w:txbxContent>
                  <w:p w14:paraId="7E5D4629" w14:textId="77777777" w:rsidR="001128FE" w:rsidRDefault="00000000">
                    <w:pPr>
                      <w:spacing w:before="20"/>
                      <w:ind w:left="20" w:firstLine="20"/>
                      <w:textDirection w:val="btLr"/>
                    </w:pPr>
                    <w:r>
                      <w:rPr>
                        <w:color w:val="000000"/>
                        <w:sz w:val="16"/>
                      </w:rPr>
                      <w:t>SAOAO Abstract Presentation Submission Guidelines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ECD5" w14:textId="77777777" w:rsidR="005535BC" w:rsidRDefault="005535BC">
      <w:r>
        <w:separator/>
      </w:r>
    </w:p>
  </w:footnote>
  <w:footnote w:type="continuationSeparator" w:id="0">
    <w:p w14:paraId="357BDAFA" w14:textId="77777777" w:rsidR="005535BC" w:rsidRDefault="0055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DE39" w14:textId="77777777" w:rsidR="001128FE"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1AE6F9F3" wp14:editId="2A0F9FDE">
          <wp:simplePos x="0" y="0"/>
          <wp:positionH relativeFrom="page">
            <wp:posOffset>533302</wp:posOffset>
          </wp:positionH>
          <wp:positionV relativeFrom="page">
            <wp:posOffset>254988</wp:posOffset>
          </wp:positionV>
          <wp:extent cx="1337554" cy="809224"/>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37554" cy="809224"/>
                  </a:xfrm>
                  <a:prstGeom prst="rect">
                    <a:avLst/>
                  </a:prstGeom>
                  <a:ln/>
                </pic:spPr>
              </pic:pic>
            </a:graphicData>
          </a:graphic>
        </wp:anchor>
      </w:drawing>
    </w:r>
    <w:r>
      <w:rPr>
        <w:noProof/>
        <w:color w:val="000000"/>
      </w:rPr>
      <mc:AlternateContent>
        <mc:Choice Requires="wps">
          <w:drawing>
            <wp:anchor distT="0" distB="0" distL="114300" distR="114300" simplePos="0" relativeHeight="251659264" behindDoc="1" locked="0" layoutInCell="1" hidden="0" allowOverlap="1" wp14:anchorId="3474D127" wp14:editId="0088A647">
              <wp:simplePos x="0" y="0"/>
              <wp:positionH relativeFrom="page">
                <wp:posOffset>2156924</wp:posOffset>
              </wp:positionH>
              <wp:positionV relativeFrom="page">
                <wp:posOffset>444734</wp:posOffset>
              </wp:positionV>
              <wp:extent cx="4580890" cy="531494"/>
              <wp:effectExtent l="0" t="0" r="0" b="0"/>
              <wp:wrapNone/>
              <wp:docPr id="8" name="Freeform 8"/>
              <wp:cNvGraphicFramePr/>
              <a:graphic xmlns:a="http://schemas.openxmlformats.org/drawingml/2006/main">
                <a:graphicData uri="http://schemas.microsoft.com/office/word/2010/wordprocessingShape">
                  <wps:wsp>
                    <wps:cNvSpPr/>
                    <wps:spPr>
                      <a:xfrm>
                        <a:off x="3060318" y="3519016"/>
                        <a:ext cx="4571365" cy="521969"/>
                      </a:xfrm>
                      <a:custGeom>
                        <a:avLst/>
                        <a:gdLst/>
                        <a:ahLst/>
                        <a:cxnLst/>
                        <a:rect l="l" t="t" r="r" b="b"/>
                        <a:pathLst>
                          <a:path w="4571365" h="521969" extrusionOk="0">
                            <a:moveTo>
                              <a:pt x="0" y="0"/>
                            </a:moveTo>
                            <a:lnTo>
                              <a:pt x="0" y="521969"/>
                            </a:lnTo>
                            <a:lnTo>
                              <a:pt x="4571365" y="521969"/>
                            </a:lnTo>
                            <a:lnTo>
                              <a:pt x="4571365" y="0"/>
                            </a:lnTo>
                            <a:close/>
                          </a:path>
                        </a:pathLst>
                      </a:custGeom>
                      <a:solidFill>
                        <a:srgbClr val="FFFFFF"/>
                      </a:solidFill>
                      <a:ln>
                        <a:noFill/>
                      </a:ln>
                    </wps:spPr>
                    <wps:txbx>
                      <w:txbxContent>
                        <w:p w14:paraId="53F07A09" w14:textId="77777777" w:rsidR="001128FE" w:rsidRDefault="00000000">
                          <w:pPr>
                            <w:spacing w:before="25" w:line="251" w:lineRule="auto"/>
                            <w:ind w:left="701" w:right="6" w:firstLine="18"/>
                            <w:textDirection w:val="btLr"/>
                          </w:pPr>
                          <w:r>
                            <w:rPr>
                              <w:b/>
                              <w:color w:val="000000"/>
                              <w:sz w:val="32"/>
                            </w:rPr>
                            <w:t>S</w:t>
                          </w:r>
                          <w:r>
                            <w:rPr>
                              <w:b/>
                              <w:color w:val="000000"/>
                              <w:sz w:val="26"/>
                            </w:rPr>
                            <w:t xml:space="preserve">TUDENT </w:t>
                          </w:r>
                          <w:r>
                            <w:rPr>
                              <w:b/>
                              <w:color w:val="000000"/>
                              <w:sz w:val="32"/>
                            </w:rPr>
                            <w:t>A</w:t>
                          </w:r>
                          <w:r>
                            <w:rPr>
                              <w:b/>
                              <w:color w:val="000000"/>
                              <w:sz w:val="26"/>
                            </w:rPr>
                            <w:t xml:space="preserve">MERICAN </w:t>
                          </w:r>
                          <w:r>
                            <w:rPr>
                              <w:b/>
                              <w:color w:val="000000"/>
                              <w:sz w:val="32"/>
                            </w:rPr>
                            <w:t>O</w:t>
                          </w:r>
                          <w:r>
                            <w:rPr>
                              <w:b/>
                              <w:color w:val="000000"/>
                              <w:sz w:val="26"/>
                            </w:rPr>
                            <w:t xml:space="preserve">STEOPATHIC </w:t>
                          </w:r>
                          <w:r>
                            <w:rPr>
                              <w:b/>
                              <w:color w:val="000000"/>
                              <w:sz w:val="32"/>
                            </w:rPr>
                            <w:t>A</w:t>
                          </w:r>
                          <w:r>
                            <w:rPr>
                              <w:b/>
                              <w:color w:val="000000"/>
                              <w:sz w:val="26"/>
                            </w:rPr>
                            <w:t xml:space="preserve">CADEMY OF </w:t>
                          </w:r>
                          <w:r>
                            <w:rPr>
                              <w:b/>
                              <w:color w:val="000000"/>
                              <w:sz w:val="32"/>
                            </w:rPr>
                            <w:t>O</w:t>
                          </w:r>
                          <w:r>
                            <w:rPr>
                              <w:b/>
                              <w:color w:val="000000"/>
                              <w:sz w:val="26"/>
                            </w:rPr>
                            <w:t xml:space="preserve">RTHOPEDICS </w:t>
                          </w:r>
                          <w:r>
                            <w:rPr>
                              <w:b/>
                              <w:color w:val="000000"/>
                              <w:sz w:val="32"/>
                            </w:rPr>
                            <w:t>A</w:t>
                          </w:r>
                          <w:r>
                            <w:rPr>
                              <w:b/>
                              <w:color w:val="000000"/>
                              <w:sz w:val="26"/>
                            </w:rPr>
                            <w:t xml:space="preserve">BSTRACT </w:t>
                          </w:r>
                          <w:r>
                            <w:rPr>
                              <w:b/>
                              <w:color w:val="000000"/>
                              <w:sz w:val="32"/>
                            </w:rPr>
                            <w:t>P</w:t>
                          </w:r>
                          <w:r>
                            <w:rPr>
                              <w:b/>
                              <w:color w:val="000000"/>
                              <w:sz w:val="26"/>
                            </w:rPr>
                            <w:t xml:space="preserve">RESENTATION </w:t>
                          </w:r>
                          <w:r>
                            <w:rPr>
                              <w:b/>
                              <w:color w:val="000000"/>
                              <w:sz w:val="32"/>
                            </w:rPr>
                            <w:t>S</w:t>
                          </w:r>
                          <w:r>
                            <w:rPr>
                              <w:b/>
                              <w:color w:val="000000"/>
                              <w:sz w:val="26"/>
                            </w:rPr>
                            <w:t xml:space="preserve">UBMISSION </w:t>
                          </w:r>
                          <w:r>
                            <w:rPr>
                              <w:b/>
                              <w:color w:val="000000"/>
                              <w:sz w:val="32"/>
                            </w:rPr>
                            <w:t>G</w:t>
                          </w:r>
                          <w:r>
                            <w:rPr>
                              <w:b/>
                              <w:color w:val="000000"/>
                              <w:sz w:val="26"/>
                            </w:rPr>
                            <w:t>UIDELINES</w:t>
                          </w:r>
                        </w:p>
                      </w:txbxContent>
                    </wps:txbx>
                    <wps:bodyPr spcFirstLastPara="1" wrap="square" lIns="88900" tIns="38100" rIns="88900" bIns="38100" anchor="t" anchorCtr="0">
                      <a:noAutofit/>
                    </wps:bodyPr>
                  </wps:wsp>
                </a:graphicData>
              </a:graphic>
            </wp:anchor>
          </w:drawing>
        </mc:Choice>
        <mc:Fallback>
          <w:pict>
            <v:shape w14:anchorId="3474D127" id="Freeform 8" o:spid="_x0000_s1026" style="position:absolute;margin-left:169.85pt;margin-top:35pt;width:360.7pt;height:41.8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4571365,5219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2UNQIAALoEAAAOAAAAZHJzL2Uyb0RvYy54bWysVFFv2jAQfp+0/2D5fSSBwQARqqkV06Rq&#10;RWr7A4zjkGiOz/MZkv77nR0CtLxN48G+iz+fv/vujtVd12h2VA5rMDnPRilnykgoarPP+evL5suc&#10;M/TCFEKDUTl/U8jv1p8/rVq7VGOoQBfKMQpicNnanFfe22WSoKxUI3AEVhk6LME1wpPr9knhREvR&#10;G52M03SWtOAK60AqRPr60B/ydYxflkr6p7JE5ZnOOXHzcXVx3YU1Wa/Ecu+ErWp5oiH+gUUjakOP&#10;nkM9CC/YwdU3oZpaOkAo/UhCk0BZ1lLFHCibLP2QzXMlrIq5kDhozzLh/wsrfx2f7daRDK3FJZIZ&#10;suhK14Sd+LEu55N0lk4yquQb2dNskWazXjjVeSYJ8HX6LZvMppxJQkzH2WK2CIDkEkke0P9QEKOK&#10;4yP6XvhisEQ1WLIzg+mofKFwOhbOc0aFc5xR4Xb9+1b4cC9QDSZrr6hUZyaMaLpD6NCn36HmAd7A&#10;Ub1AvOhDitQbRD32A7G+nGpzi3qX4AAYdhvDnQX5qMcAG/Zb+MBhQEgNqHoxQ45R1XPexPVaWQRd&#10;F5ta65AYuv3uXjt2FCThJv5ORXkH0yaADYRr/TPhS3Jph2D5btfRYTB3ULxtHUMrN7VD/yjQb4Wj&#10;ock4a2mQco5/DsIpzvRPQ506ny/SMHnRmcyz4Ljrk931iTCyAiozFbs37z15fc0MfD94KOvQO5Ff&#10;T+Xk0IBEbU7DHCbw2o+oy1/O+i8AAAD//wMAUEsDBBQABgAIAAAAIQBvNN+J4wAAABABAAAPAAAA&#10;ZHJzL2Rvd25yZXYueG1sTI9BT8MwDIXvSPyHyEjcWFKqtVvXdEKgSqg3CtyzxrSlTdI12Vb+Pd4J&#10;LpYtPz+/L98vZmRnnH3vrIRoJYChbZzubSvh47182ADzQVmtRmdRwg962Be3N7nKtLvYNzzXoWVk&#10;Yn2mJHQhTBnnvunQKL9yE1rafbnZqEDj3HI9qwuZm5E/CpFwo3pLHzo14XOHzVCfjITjd/N5HHT1&#10;WpdlVCVDNaz9KKS8v1tedlSedsACLuHvAq4MlB8KCnZwJ6s9GyXE8TYlqYRUENhVIJIoAnagbh2n&#10;wIuc/wcpfgEAAP//AwBQSwECLQAUAAYACAAAACEAtoM4kv4AAADhAQAAEwAAAAAAAAAAAAAAAAAA&#10;AAAAW0NvbnRlbnRfVHlwZXNdLnhtbFBLAQItABQABgAIAAAAIQA4/SH/1gAAAJQBAAALAAAAAAAA&#10;AAAAAAAAAC8BAABfcmVscy8ucmVsc1BLAQItABQABgAIAAAAIQDQvF2UNQIAALoEAAAOAAAAAAAA&#10;AAAAAAAAAC4CAABkcnMvZTJvRG9jLnhtbFBLAQItABQABgAIAAAAIQBvNN+J4wAAABABAAAPAAAA&#10;AAAAAAAAAAAAAI8EAABkcnMvZG93bnJldi54bWxQSwUGAAAAAAQABADzAAAAnwUAAAAA&#10;" adj="-11796480,,5400" path="m,l,521969r4571365,l4571365,,,xe" stroked="f">
              <v:stroke joinstyle="miter"/>
              <v:formulas/>
              <v:path arrowok="t" o:extrusionok="f" o:connecttype="custom" textboxrect="0,0,4571365,521969"/>
              <v:textbox inset="7pt,3pt,7pt,3pt">
                <w:txbxContent>
                  <w:p w14:paraId="53F07A09" w14:textId="77777777" w:rsidR="001128FE" w:rsidRDefault="00000000">
                    <w:pPr>
                      <w:spacing w:before="25" w:line="251" w:lineRule="auto"/>
                      <w:ind w:left="701" w:right="6" w:firstLine="18"/>
                      <w:textDirection w:val="btLr"/>
                    </w:pPr>
                    <w:r>
                      <w:rPr>
                        <w:b/>
                        <w:color w:val="000000"/>
                        <w:sz w:val="32"/>
                      </w:rPr>
                      <w:t>S</w:t>
                    </w:r>
                    <w:r>
                      <w:rPr>
                        <w:b/>
                        <w:color w:val="000000"/>
                        <w:sz w:val="26"/>
                      </w:rPr>
                      <w:t xml:space="preserve">TUDENT </w:t>
                    </w:r>
                    <w:r>
                      <w:rPr>
                        <w:b/>
                        <w:color w:val="000000"/>
                        <w:sz w:val="32"/>
                      </w:rPr>
                      <w:t>A</w:t>
                    </w:r>
                    <w:r>
                      <w:rPr>
                        <w:b/>
                        <w:color w:val="000000"/>
                        <w:sz w:val="26"/>
                      </w:rPr>
                      <w:t xml:space="preserve">MERICAN </w:t>
                    </w:r>
                    <w:r>
                      <w:rPr>
                        <w:b/>
                        <w:color w:val="000000"/>
                        <w:sz w:val="32"/>
                      </w:rPr>
                      <w:t>O</w:t>
                    </w:r>
                    <w:r>
                      <w:rPr>
                        <w:b/>
                        <w:color w:val="000000"/>
                        <w:sz w:val="26"/>
                      </w:rPr>
                      <w:t xml:space="preserve">STEOPATHIC </w:t>
                    </w:r>
                    <w:r>
                      <w:rPr>
                        <w:b/>
                        <w:color w:val="000000"/>
                        <w:sz w:val="32"/>
                      </w:rPr>
                      <w:t>A</w:t>
                    </w:r>
                    <w:r>
                      <w:rPr>
                        <w:b/>
                        <w:color w:val="000000"/>
                        <w:sz w:val="26"/>
                      </w:rPr>
                      <w:t xml:space="preserve">CADEMY OF </w:t>
                    </w:r>
                    <w:r>
                      <w:rPr>
                        <w:b/>
                        <w:color w:val="000000"/>
                        <w:sz w:val="32"/>
                      </w:rPr>
                      <w:t>O</w:t>
                    </w:r>
                    <w:r>
                      <w:rPr>
                        <w:b/>
                        <w:color w:val="000000"/>
                        <w:sz w:val="26"/>
                      </w:rPr>
                      <w:t xml:space="preserve">RTHOPEDICS </w:t>
                    </w:r>
                    <w:r>
                      <w:rPr>
                        <w:b/>
                        <w:color w:val="000000"/>
                        <w:sz w:val="32"/>
                      </w:rPr>
                      <w:t>A</w:t>
                    </w:r>
                    <w:r>
                      <w:rPr>
                        <w:b/>
                        <w:color w:val="000000"/>
                        <w:sz w:val="26"/>
                      </w:rPr>
                      <w:t xml:space="preserve">BSTRACT </w:t>
                    </w:r>
                    <w:r>
                      <w:rPr>
                        <w:b/>
                        <w:color w:val="000000"/>
                        <w:sz w:val="32"/>
                      </w:rPr>
                      <w:t>P</w:t>
                    </w:r>
                    <w:r>
                      <w:rPr>
                        <w:b/>
                        <w:color w:val="000000"/>
                        <w:sz w:val="26"/>
                      </w:rPr>
                      <w:t xml:space="preserve">RESENTATION </w:t>
                    </w:r>
                    <w:r>
                      <w:rPr>
                        <w:b/>
                        <w:color w:val="000000"/>
                        <w:sz w:val="32"/>
                      </w:rPr>
                      <w:t>S</w:t>
                    </w:r>
                    <w:r>
                      <w:rPr>
                        <w:b/>
                        <w:color w:val="000000"/>
                        <w:sz w:val="26"/>
                      </w:rPr>
                      <w:t xml:space="preserve">UBMISSION </w:t>
                    </w:r>
                    <w:r>
                      <w:rPr>
                        <w:b/>
                        <w:color w:val="000000"/>
                        <w:sz w:val="32"/>
                      </w:rPr>
                      <w:t>G</w:t>
                    </w:r>
                    <w:r>
                      <w:rPr>
                        <w:b/>
                        <w:color w:val="000000"/>
                        <w:sz w:val="26"/>
                      </w:rPr>
                      <w:t>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5514"/>
    <w:multiLevelType w:val="multilevel"/>
    <w:tmpl w:val="44B8DC84"/>
    <w:lvl w:ilvl="0">
      <w:numFmt w:val="bullet"/>
      <w:lvlText w:val="●"/>
      <w:lvlJc w:val="left"/>
      <w:pPr>
        <w:ind w:left="387" w:hanging="270"/>
      </w:pPr>
      <w:rPr>
        <w:rFonts w:ascii="Noto Sans Symbols" w:eastAsia="Noto Sans Symbols" w:hAnsi="Noto Sans Symbols" w:cs="Noto Sans Symbols"/>
        <w:color w:val="000000"/>
        <w:sz w:val="22"/>
        <w:szCs w:val="22"/>
      </w:rPr>
    </w:lvl>
    <w:lvl w:ilvl="1">
      <w:numFmt w:val="bullet"/>
      <w:lvlText w:val="•"/>
      <w:lvlJc w:val="left"/>
      <w:pPr>
        <w:ind w:left="1300" w:hanging="270"/>
      </w:pPr>
    </w:lvl>
    <w:lvl w:ilvl="2">
      <w:numFmt w:val="bullet"/>
      <w:lvlText w:val="•"/>
      <w:lvlJc w:val="left"/>
      <w:pPr>
        <w:ind w:left="2220" w:hanging="270"/>
      </w:pPr>
    </w:lvl>
    <w:lvl w:ilvl="3">
      <w:numFmt w:val="bullet"/>
      <w:lvlText w:val="•"/>
      <w:lvlJc w:val="left"/>
      <w:pPr>
        <w:ind w:left="3140" w:hanging="270"/>
      </w:pPr>
    </w:lvl>
    <w:lvl w:ilvl="4">
      <w:numFmt w:val="bullet"/>
      <w:lvlText w:val="•"/>
      <w:lvlJc w:val="left"/>
      <w:pPr>
        <w:ind w:left="4060" w:hanging="270"/>
      </w:pPr>
    </w:lvl>
    <w:lvl w:ilvl="5">
      <w:numFmt w:val="bullet"/>
      <w:lvlText w:val="•"/>
      <w:lvlJc w:val="left"/>
      <w:pPr>
        <w:ind w:left="4980" w:hanging="270"/>
      </w:pPr>
    </w:lvl>
    <w:lvl w:ilvl="6">
      <w:numFmt w:val="bullet"/>
      <w:lvlText w:val="•"/>
      <w:lvlJc w:val="left"/>
      <w:pPr>
        <w:ind w:left="5900" w:hanging="270"/>
      </w:pPr>
    </w:lvl>
    <w:lvl w:ilvl="7">
      <w:numFmt w:val="bullet"/>
      <w:lvlText w:val="•"/>
      <w:lvlJc w:val="left"/>
      <w:pPr>
        <w:ind w:left="6820" w:hanging="270"/>
      </w:pPr>
    </w:lvl>
    <w:lvl w:ilvl="8">
      <w:numFmt w:val="bullet"/>
      <w:lvlText w:val="•"/>
      <w:lvlJc w:val="left"/>
      <w:pPr>
        <w:ind w:left="7740" w:hanging="270"/>
      </w:pPr>
    </w:lvl>
  </w:abstractNum>
  <w:abstractNum w:abstractNumId="1" w15:restartNumberingAfterBreak="0">
    <w:nsid w:val="5AE5585A"/>
    <w:multiLevelType w:val="multilevel"/>
    <w:tmpl w:val="85AA3358"/>
    <w:lvl w:ilvl="0">
      <w:numFmt w:val="bullet"/>
      <w:lvlText w:val="●"/>
      <w:lvlJc w:val="left"/>
      <w:pPr>
        <w:ind w:left="387" w:hanging="270"/>
      </w:pPr>
      <w:rPr>
        <w:rFonts w:ascii="Noto Sans Symbols" w:eastAsia="Noto Sans Symbols" w:hAnsi="Noto Sans Symbols" w:cs="Noto Sans Symbols"/>
        <w:color w:val="000000"/>
        <w:sz w:val="22"/>
        <w:szCs w:val="22"/>
      </w:rPr>
    </w:lvl>
    <w:lvl w:ilvl="1">
      <w:numFmt w:val="bullet"/>
      <w:lvlText w:val="•"/>
      <w:lvlJc w:val="left"/>
      <w:pPr>
        <w:ind w:left="1300" w:hanging="270"/>
      </w:pPr>
    </w:lvl>
    <w:lvl w:ilvl="2">
      <w:numFmt w:val="bullet"/>
      <w:lvlText w:val="•"/>
      <w:lvlJc w:val="left"/>
      <w:pPr>
        <w:ind w:left="2220" w:hanging="270"/>
      </w:pPr>
    </w:lvl>
    <w:lvl w:ilvl="3">
      <w:numFmt w:val="bullet"/>
      <w:lvlText w:val="•"/>
      <w:lvlJc w:val="left"/>
      <w:pPr>
        <w:ind w:left="3140" w:hanging="270"/>
      </w:pPr>
    </w:lvl>
    <w:lvl w:ilvl="4">
      <w:numFmt w:val="bullet"/>
      <w:lvlText w:val="•"/>
      <w:lvlJc w:val="left"/>
      <w:pPr>
        <w:ind w:left="4060" w:hanging="270"/>
      </w:pPr>
    </w:lvl>
    <w:lvl w:ilvl="5">
      <w:numFmt w:val="bullet"/>
      <w:lvlText w:val="•"/>
      <w:lvlJc w:val="left"/>
      <w:pPr>
        <w:ind w:left="4980" w:hanging="270"/>
      </w:pPr>
    </w:lvl>
    <w:lvl w:ilvl="6">
      <w:numFmt w:val="bullet"/>
      <w:lvlText w:val="•"/>
      <w:lvlJc w:val="left"/>
      <w:pPr>
        <w:ind w:left="5900" w:hanging="270"/>
      </w:pPr>
    </w:lvl>
    <w:lvl w:ilvl="7">
      <w:numFmt w:val="bullet"/>
      <w:lvlText w:val="•"/>
      <w:lvlJc w:val="left"/>
      <w:pPr>
        <w:ind w:left="6820" w:hanging="270"/>
      </w:pPr>
    </w:lvl>
    <w:lvl w:ilvl="8">
      <w:numFmt w:val="bullet"/>
      <w:lvlText w:val="•"/>
      <w:lvlJc w:val="left"/>
      <w:pPr>
        <w:ind w:left="7740" w:hanging="270"/>
      </w:pPr>
    </w:lvl>
  </w:abstractNum>
  <w:abstractNum w:abstractNumId="2" w15:restartNumberingAfterBreak="0">
    <w:nsid w:val="7E1006D4"/>
    <w:multiLevelType w:val="multilevel"/>
    <w:tmpl w:val="30E65EAA"/>
    <w:lvl w:ilvl="0">
      <w:start w:val="9"/>
      <w:numFmt w:val="decimal"/>
      <w:lvlText w:val="%1)"/>
      <w:lvlJc w:val="left"/>
      <w:pPr>
        <w:ind w:left="117" w:hanging="249"/>
      </w:pPr>
      <w:rPr>
        <w:rFonts w:ascii="Trebuchet MS" w:eastAsia="Trebuchet MS" w:hAnsi="Trebuchet MS" w:cs="Trebuchet MS"/>
        <w:sz w:val="24"/>
        <w:szCs w:val="24"/>
      </w:rPr>
    </w:lvl>
    <w:lvl w:ilvl="1">
      <w:start w:val="1"/>
      <w:numFmt w:val="decimal"/>
      <w:lvlText w:val="%2."/>
      <w:lvlJc w:val="left"/>
      <w:pPr>
        <w:ind w:left="837" w:hanging="360"/>
      </w:pPr>
    </w:lvl>
    <w:lvl w:ilvl="2">
      <w:numFmt w:val="bullet"/>
      <w:lvlText w:val="•"/>
      <w:lvlJc w:val="left"/>
      <w:pPr>
        <w:ind w:left="1811" w:hanging="360"/>
      </w:pPr>
    </w:lvl>
    <w:lvl w:ilvl="3">
      <w:numFmt w:val="bullet"/>
      <w:lvlText w:val="•"/>
      <w:lvlJc w:val="left"/>
      <w:pPr>
        <w:ind w:left="2782" w:hanging="360"/>
      </w:pPr>
    </w:lvl>
    <w:lvl w:ilvl="4">
      <w:numFmt w:val="bullet"/>
      <w:lvlText w:val="•"/>
      <w:lvlJc w:val="left"/>
      <w:pPr>
        <w:ind w:left="3753" w:hanging="360"/>
      </w:pPr>
    </w:lvl>
    <w:lvl w:ilvl="5">
      <w:numFmt w:val="bullet"/>
      <w:lvlText w:val="•"/>
      <w:lvlJc w:val="left"/>
      <w:pPr>
        <w:ind w:left="4724" w:hanging="360"/>
      </w:pPr>
    </w:lvl>
    <w:lvl w:ilvl="6">
      <w:numFmt w:val="bullet"/>
      <w:lvlText w:val="•"/>
      <w:lvlJc w:val="left"/>
      <w:pPr>
        <w:ind w:left="5695" w:hanging="360"/>
      </w:pPr>
    </w:lvl>
    <w:lvl w:ilvl="7">
      <w:numFmt w:val="bullet"/>
      <w:lvlText w:val="•"/>
      <w:lvlJc w:val="left"/>
      <w:pPr>
        <w:ind w:left="6666" w:hanging="360"/>
      </w:pPr>
    </w:lvl>
    <w:lvl w:ilvl="8">
      <w:numFmt w:val="bullet"/>
      <w:lvlText w:val="•"/>
      <w:lvlJc w:val="left"/>
      <w:pPr>
        <w:ind w:left="7637" w:hanging="360"/>
      </w:pPr>
    </w:lvl>
  </w:abstractNum>
  <w:num w:numId="1" w16cid:durableId="458886589">
    <w:abstractNumId w:val="2"/>
  </w:num>
  <w:num w:numId="2" w16cid:durableId="1534657456">
    <w:abstractNumId w:val="0"/>
  </w:num>
  <w:num w:numId="3" w16cid:durableId="18949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FE"/>
    <w:rsid w:val="0006509B"/>
    <w:rsid w:val="001128FE"/>
    <w:rsid w:val="00350EC4"/>
    <w:rsid w:val="005535BC"/>
    <w:rsid w:val="006F1AC6"/>
    <w:rsid w:val="007A544F"/>
    <w:rsid w:val="008C0558"/>
    <w:rsid w:val="00E166B3"/>
    <w:rsid w:val="00EC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B575"/>
  <w15:docId w15:val="{BF4DD346-DAB6-554F-B65D-B41B0FF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3"/>
      <w:ind w:left="117"/>
      <w:outlineLvl w:val="0"/>
    </w:pPr>
    <w:rPr>
      <w:b/>
      <w:bCs/>
      <w:sz w:val="24"/>
      <w:szCs w:val="24"/>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387" w:hanging="27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udentaoao@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aoao@gmail.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TovBWlS9Q/Dv36r7Mw75bnCtWw==">AMUW2mWnonTNW4ISM2Wo0+gPaOKuwZgcRkcPUvS6lVxujkEm6VOhYMXIHxPNvXe7ShWWhE57cw8K8B/vzkxW7VC9oyTCgCXAuzK7MWraboGqcpBHpUFAOic=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Hitt</dc:creator>
  <cp:lastModifiedBy>Julie Hitt</cp:lastModifiedBy>
  <cp:revision>2</cp:revision>
  <dcterms:created xsi:type="dcterms:W3CDTF">2024-05-15T18:15:00Z</dcterms:created>
  <dcterms:modified xsi:type="dcterms:W3CDTF">2024-05-15T18:15:00Z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Word</vt:lpwstr>
  </property>
  <property fmtid="{D5CDD505-2E9C-101B-9397-08002B2CF9AE}" pid="4" name="LastSaved">
    <vt:filetime>2022-12-05T00:00:00Z</vt:filetime>
  </property>
</Properties>
</file>